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F005" w14:textId="77777777" w:rsidR="004B4B36" w:rsidRDefault="004B4B36" w:rsidP="008E4100">
      <w:pPr>
        <w:jc w:val="center"/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6582A889" w14:textId="77777777" w:rsidR="004B4B36" w:rsidRDefault="004B4B36" w:rsidP="008E4100">
      <w:pPr>
        <w:jc w:val="center"/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60887CDD" w14:textId="77777777" w:rsidR="004B4B36" w:rsidRDefault="004B4B36" w:rsidP="008E4100">
      <w:pPr>
        <w:jc w:val="center"/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6F2B161B" w14:textId="77777777" w:rsidR="004B4B36" w:rsidRDefault="004B4B36" w:rsidP="008E4100">
      <w:pPr>
        <w:jc w:val="center"/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62FBF242" w14:textId="77777777" w:rsidR="004B4B36" w:rsidRDefault="004B4B36" w:rsidP="008E4100">
      <w:pPr>
        <w:jc w:val="center"/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7689AFE8" w14:textId="77777777" w:rsidR="004B4B36" w:rsidRDefault="004B4B36" w:rsidP="008E4100">
      <w:pPr>
        <w:jc w:val="center"/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1B2E40A2" w14:textId="10AA2429" w:rsidR="008E4100" w:rsidRPr="008671CF" w:rsidRDefault="008E4100" w:rsidP="008671CF">
      <w:pPr>
        <w:jc w:val="center"/>
        <w:rPr>
          <w:rFonts w:asciiTheme="minorHAnsi" w:eastAsiaTheme="minorHAnsi" w:hAnsiTheme="minorHAnsi" w:cstheme="minorBidi"/>
          <w:color w:val="808080" w:themeColor="background1" w:themeShade="80"/>
          <w:sz w:val="56"/>
          <w:szCs w:val="56"/>
        </w:rPr>
      </w:pPr>
      <w:r w:rsidRPr="008671CF">
        <w:rPr>
          <w:rFonts w:asciiTheme="minorHAnsi" w:eastAsiaTheme="minorHAnsi" w:hAnsiTheme="minorHAnsi" w:cstheme="minorBidi"/>
          <w:color w:val="808080" w:themeColor="background1" w:themeShade="80"/>
          <w:sz w:val="56"/>
          <w:szCs w:val="56"/>
        </w:rPr>
        <w:t xml:space="preserve">Cost Allocation Plan </w:t>
      </w:r>
      <w:r w:rsidR="008671CF">
        <w:rPr>
          <w:rFonts w:asciiTheme="minorHAnsi" w:eastAsiaTheme="minorHAnsi" w:hAnsiTheme="minorHAnsi" w:cstheme="minorBidi"/>
          <w:color w:val="808080" w:themeColor="background1" w:themeShade="80"/>
          <w:sz w:val="56"/>
          <w:szCs w:val="56"/>
        </w:rPr>
        <w:t>Template</w:t>
      </w:r>
    </w:p>
    <w:p w14:paraId="58724950" w14:textId="77777777" w:rsidR="004B4B36" w:rsidRPr="008671CF" w:rsidRDefault="004B4B36" w:rsidP="008671CF">
      <w:pPr>
        <w:jc w:val="center"/>
        <w:rPr>
          <w:rFonts w:asciiTheme="minorHAnsi" w:eastAsiaTheme="minorHAnsi" w:hAnsiTheme="minorHAnsi" w:cstheme="minorBidi"/>
          <w:color w:val="808080" w:themeColor="background1" w:themeShade="80"/>
          <w:sz w:val="56"/>
          <w:szCs w:val="56"/>
        </w:rPr>
      </w:pPr>
      <w:bookmarkStart w:id="0" w:name="_GoBack"/>
      <w:bookmarkEnd w:id="0"/>
    </w:p>
    <w:p w14:paraId="64D4A7CB" w14:textId="77777777" w:rsidR="004B4B36" w:rsidRDefault="004B4B36" w:rsidP="008E4100">
      <w:pPr>
        <w:jc w:val="center"/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4D35FB13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2AEDEA0F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04391958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1D8DFAEB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6ADFDAD1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28DA6EC6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5E88E2F3" w14:textId="77777777" w:rsidR="008671CF" w:rsidRDefault="008671CF" w:rsidP="008671CF">
      <w:pPr>
        <w:tabs>
          <w:tab w:val="left" w:pos="3994"/>
        </w:tabs>
        <w:jc w:val="center"/>
        <w:rPr>
          <w:b/>
          <w:color w:val="808080" w:themeColor="background1" w:themeShade="80"/>
          <w:sz w:val="56"/>
          <w:szCs w:val="56"/>
        </w:rPr>
      </w:pPr>
      <w:r>
        <w:rPr>
          <w:b/>
          <w:color w:val="808080" w:themeColor="background1" w:themeShade="80"/>
          <w:sz w:val="56"/>
          <w:szCs w:val="56"/>
        </w:rPr>
        <w:t>[Insert Entity Cover Page/Logo]</w:t>
      </w:r>
    </w:p>
    <w:p w14:paraId="5ED87CAB" w14:textId="77777777" w:rsidR="0085170F" w:rsidRDefault="0085170F" w:rsidP="008671CF">
      <w:pPr>
        <w:jc w:val="center"/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323384B0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7D76223C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380C50E2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4B87B5F5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305C5943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61D93056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64203AA4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437698E5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37D45193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674A39B5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2594D5A2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59D46B83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452D5B41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78129E35" w14:textId="77777777" w:rsidR="0085170F" w:rsidRDefault="0085170F" w:rsidP="004B4B36">
      <w:pPr>
        <w:outlineLvl w:val="0"/>
        <w:rPr>
          <w:rFonts w:asciiTheme="majorHAnsi" w:hAnsiTheme="majorHAnsi" w:cs="Arial"/>
          <w:b/>
          <w:bCs/>
          <w:color w:val="000000"/>
          <w:kern w:val="36"/>
          <w:sz w:val="22"/>
          <w:szCs w:val="22"/>
        </w:rPr>
      </w:pPr>
    </w:p>
    <w:p w14:paraId="05D2928D" w14:textId="3F064BA3" w:rsidR="008E4100" w:rsidRDefault="008E4100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F907E69" w14:textId="154E65F4" w:rsidR="008671CF" w:rsidRDefault="008671CF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7BA9F304" w14:textId="41DCD531" w:rsidR="008671CF" w:rsidRDefault="008671CF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FEB92A4" w14:textId="1B656F41" w:rsidR="008671CF" w:rsidRDefault="008671CF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1D69C3A4" w14:textId="0B10675A" w:rsidR="008671CF" w:rsidRDefault="008671CF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F598FA3" w14:textId="79E80C92" w:rsidR="003C0336" w:rsidRDefault="003C0336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56372B42" w14:textId="1D836450" w:rsidR="003C0336" w:rsidRDefault="003C0336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54AC02AA" w14:textId="65EF1709" w:rsidR="003C0336" w:rsidRDefault="003C0336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053A7F6" w14:textId="77777777" w:rsidR="003C0336" w:rsidRDefault="003C0336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E270297" w14:textId="77777777" w:rsidR="008671CF" w:rsidRDefault="008671CF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CBB3CD1" w14:textId="0618E137" w:rsidR="008671CF" w:rsidRDefault="008671CF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384B2CE" w14:textId="14CC48AE" w:rsidR="008671CF" w:rsidRDefault="008671CF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7C0CE564" w14:textId="15C937A6" w:rsidR="008671CF" w:rsidRDefault="008671CF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3689AC4" w14:textId="77777777" w:rsidR="008671CF" w:rsidRPr="00D17E1C" w:rsidRDefault="008671CF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7A4CE4D7" w14:textId="77777777" w:rsidR="00EF40E1" w:rsidRDefault="00EF40E1" w:rsidP="004B4B36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>Purpose</w:t>
      </w:r>
    </w:p>
    <w:p w14:paraId="72F40017" w14:textId="77777777" w:rsidR="00EF40E1" w:rsidRDefault="00EF40E1" w:rsidP="00EF40E1">
      <w:pPr>
        <w:pStyle w:val="ListParagraph"/>
        <w:ind w:left="36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The purpose of the Cost Allocation Plan (CAP) is to ensure </w:t>
      </w:r>
      <w:commentRangeStart w:id="1"/>
      <w:r>
        <w:rPr>
          <w:rFonts w:asciiTheme="majorHAnsi" w:hAnsiTheme="majorHAnsi" w:cs="Arial"/>
          <w:color w:val="000000"/>
          <w:sz w:val="22"/>
          <w:szCs w:val="22"/>
        </w:rPr>
        <w:t>costs b</w:t>
      </w:r>
      <w:r w:rsidR="00D35CC8">
        <w:rPr>
          <w:rFonts w:asciiTheme="majorHAnsi" w:hAnsiTheme="majorHAnsi" w:cs="Arial"/>
          <w:color w:val="000000"/>
          <w:sz w:val="22"/>
          <w:szCs w:val="22"/>
        </w:rPr>
        <w:t>enefiting multiple fund sources</w:t>
      </w:r>
      <w:commentRangeEnd w:id="1"/>
      <w:r w:rsidR="00D35CC8">
        <w:rPr>
          <w:rStyle w:val="CommentReference"/>
        </w:rPr>
        <w:commentReference w:id="1"/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35CC8">
        <w:rPr>
          <w:rFonts w:asciiTheme="majorHAnsi" w:hAnsiTheme="majorHAnsi" w:cs="Arial"/>
          <w:color w:val="000000"/>
          <w:sz w:val="22"/>
          <w:szCs w:val="22"/>
        </w:rPr>
        <w:t>(</w:t>
      </w:r>
      <w:r>
        <w:rPr>
          <w:rFonts w:asciiTheme="majorHAnsi" w:hAnsiTheme="majorHAnsi" w:cs="Arial"/>
          <w:color w:val="000000"/>
          <w:sz w:val="22"/>
          <w:szCs w:val="22"/>
        </w:rPr>
        <w:t>including</w:t>
      </w:r>
      <w:r w:rsidR="00D35CC8">
        <w:rPr>
          <w:rFonts w:asciiTheme="majorHAnsi" w:hAnsiTheme="majorHAnsi" w:cs="Arial"/>
          <w:color w:val="000000"/>
          <w:sz w:val="22"/>
          <w:szCs w:val="22"/>
        </w:rPr>
        <w:t xml:space="preserve"> Federal, State, and Entity) are distributed fairly among each fund source based on the benefits received. </w:t>
      </w:r>
    </w:p>
    <w:p w14:paraId="15B47974" w14:textId="77777777" w:rsidR="00D35CC8" w:rsidRPr="00EF40E1" w:rsidRDefault="00D35CC8" w:rsidP="00EF40E1">
      <w:pPr>
        <w:pStyle w:val="ListParagraph"/>
        <w:ind w:left="360"/>
        <w:rPr>
          <w:rFonts w:asciiTheme="majorHAnsi" w:hAnsiTheme="majorHAnsi" w:cs="Arial"/>
          <w:color w:val="000000"/>
          <w:sz w:val="22"/>
          <w:szCs w:val="22"/>
        </w:rPr>
      </w:pPr>
    </w:p>
    <w:p w14:paraId="47A41DCC" w14:textId="77777777" w:rsidR="004C1792" w:rsidRDefault="005D385D" w:rsidP="004B4B36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 w:cs="Arial"/>
          <w:b/>
          <w:color w:val="000000"/>
          <w:sz w:val="22"/>
          <w:szCs w:val="22"/>
        </w:rPr>
      </w:pPr>
      <w:r w:rsidRPr="00D17E1C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Background and </w:t>
      </w:r>
      <w:r w:rsidR="001540EC">
        <w:rPr>
          <w:rFonts w:asciiTheme="majorHAnsi" w:hAnsiTheme="majorHAnsi" w:cs="Arial"/>
          <w:b/>
          <w:color w:val="000000"/>
          <w:sz w:val="22"/>
          <w:szCs w:val="22"/>
        </w:rPr>
        <w:t>S</w:t>
      </w:r>
      <w:r w:rsidR="004C1792" w:rsidRPr="0027264C">
        <w:rPr>
          <w:rFonts w:asciiTheme="majorHAnsi" w:hAnsiTheme="majorHAnsi" w:cs="Arial"/>
          <w:b/>
          <w:color w:val="000000"/>
          <w:sz w:val="22"/>
          <w:szCs w:val="22"/>
        </w:rPr>
        <w:t xml:space="preserve">ervices </w:t>
      </w:r>
      <w:r w:rsidR="001540EC">
        <w:rPr>
          <w:rFonts w:asciiTheme="majorHAnsi" w:hAnsiTheme="majorHAnsi" w:cs="Arial"/>
          <w:b/>
          <w:color w:val="000000"/>
          <w:sz w:val="22"/>
          <w:szCs w:val="22"/>
        </w:rPr>
        <w:t>P</w:t>
      </w:r>
      <w:r w:rsidR="004C1792" w:rsidRPr="0027264C">
        <w:rPr>
          <w:rFonts w:asciiTheme="majorHAnsi" w:hAnsiTheme="majorHAnsi" w:cs="Arial"/>
          <w:b/>
          <w:color w:val="000000"/>
          <w:sz w:val="22"/>
          <w:szCs w:val="22"/>
        </w:rPr>
        <w:t>rovided</w:t>
      </w:r>
    </w:p>
    <w:p w14:paraId="7E17FFF6" w14:textId="77777777" w:rsidR="004C1792" w:rsidRPr="0027264C" w:rsidRDefault="004C1792" w:rsidP="004C1792">
      <w:pPr>
        <w:pStyle w:val="ListParagraph"/>
        <w:ind w:left="1080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79C36CEF" w14:textId="77777777" w:rsidR="004C1792" w:rsidRDefault="00B81976" w:rsidP="004C1792">
      <w:pPr>
        <w:ind w:left="36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[Entity]</w:t>
      </w:r>
      <w:r w:rsidR="004C1792" w:rsidRPr="004C1792">
        <w:rPr>
          <w:rFonts w:asciiTheme="majorHAnsi" w:hAnsiTheme="majorHAnsi" w:cs="Arial"/>
          <w:color w:val="000000"/>
          <w:sz w:val="22"/>
          <w:szCs w:val="22"/>
        </w:rPr>
        <w:t xml:space="preserve"> is a non-profit located in </w:t>
      </w:r>
      <w:r w:rsidR="00E3509B">
        <w:rPr>
          <w:rFonts w:asciiTheme="majorHAnsi" w:hAnsiTheme="majorHAnsi" w:cs="Arial"/>
          <w:color w:val="000000"/>
          <w:sz w:val="22"/>
          <w:szCs w:val="22"/>
        </w:rPr>
        <w:t>City</w:t>
      </w:r>
      <w:r w:rsidR="004C1792" w:rsidRPr="004C1792">
        <w:rPr>
          <w:rFonts w:asciiTheme="majorHAnsi" w:hAnsiTheme="majorHAnsi" w:cs="Arial"/>
          <w:color w:val="000000"/>
          <w:sz w:val="22"/>
          <w:szCs w:val="22"/>
        </w:rPr>
        <w:t xml:space="preserve">, </w:t>
      </w:r>
      <w:r w:rsidR="00D96304">
        <w:rPr>
          <w:rFonts w:asciiTheme="majorHAnsi" w:hAnsiTheme="majorHAnsi" w:cs="Arial"/>
          <w:color w:val="000000"/>
          <w:sz w:val="22"/>
          <w:szCs w:val="22"/>
        </w:rPr>
        <w:t>South Dakota</w:t>
      </w:r>
      <w:r w:rsidR="004C1792" w:rsidRPr="004C1792">
        <w:rPr>
          <w:rFonts w:asciiTheme="majorHAnsi" w:hAnsiTheme="majorHAnsi" w:cs="Arial"/>
          <w:color w:val="000000"/>
          <w:sz w:val="22"/>
          <w:szCs w:val="22"/>
        </w:rPr>
        <w:t xml:space="preserve">. The non-profit administers a variety of programs funded by Federal, State, and Local agencies. These programs include </w:t>
      </w:r>
      <w:r w:rsidR="004C1792" w:rsidRPr="00D96304">
        <w:rPr>
          <w:rFonts w:asciiTheme="majorHAnsi" w:hAnsiTheme="majorHAnsi" w:cs="Arial"/>
          <w:color w:val="000000"/>
          <w:sz w:val="22"/>
          <w:szCs w:val="22"/>
          <w:highlight w:val="yellow"/>
        </w:rPr>
        <w:t xml:space="preserve">(examples: </w:t>
      </w:r>
      <w:r w:rsidR="00D96304" w:rsidRPr="00D96304">
        <w:rPr>
          <w:rFonts w:asciiTheme="majorHAnsi" w:hAnsiTheme="majorHAnsi" w:cs="Arial"/>
          <w:color w:val="000000"/>
          <w:sz w:val="22"/>
          <w:szCs w:val="22"/>
          <w:highlight w:val="yellow"/>
        </w:rPr>
        <w:t>AEL</w:t>
      </w:r>
      <w:r w:rsidR="004C1792" w:rsidRPr="00D96304">
        <w:rPr>
          <w:rFonts w:asciiTheme="majorHAnsi" w:hAnsiTheme="majorHAnsi" w:cs="Arial"/>
          <w:color w:val="000000"/>
          <w:sz w:val="22"/>
          <w:szCs w:val="22"/>
          <w:highlight w:val="yellow"/>
        </w:rPr>
        <w:t xml:space="preserve">, </w:t>
      </w:r>
      <w:r w:rsidR="00D96304" w:rsidRPr="00D96304">
        <w:rPr>
          <w:rFonts w:asciiTheme="majorHAnsi" w:hAnsiTheme="majorHAnsi" w:cs="Arial"/>
          <w:color w:val="000000"/>
          <w:sz w:val="22"/>
          <w:szCs w:val="22"/>
          <w:highlight w:val="yellow"/>
        </w:rPr>
        <w:t>Early Childhood</w:t>
      </w:r>
      <w:r w:rsidR="004C1792" w:rsidRPr="00D96304">
        <w:rPr>
          <w:rFonts w:asciiTheme="majorHAnsi" w:hAnsiTheme="majorHAnsi" w:cs="Arial"/>
          <w:color w:val="000000"/>
          <w:sz w:val="22"/>
          <w:szCs w:val="22"/>
          <w:highlight w:val="yellow"/>
        </w:rPr>
        <w:t xml:space="preserve">, </w:t>
      </w:r>
      <w:r w:rsidR="00D96304" w:rsidRPr="00D96304">
        <w:rPr>
          <w:rFonts w:asciiTheme="majorHAnsi" w:hAnsiTheme="majorHAnsi" w:cs="Arial"/>
          <w:color w:val="000000"/>
          <w:sz w:val="22"/>
          <w:szCs w:val="22"/>
          <w:highlight w:val="yellow"/>
        </w:rPr>
        <w:t>ECE</w:t>
      </w:r>
      <w:r w:rsidR="004C1792" w:rsidRPr="00D96304">
        <w:rPr>
          <w:rFonts w:asciiTheme="majorHAnsi" w:hAnsiTheme="majorHAnsi" w:cs="Arial"/>
          <w:color w:val="000000"/>
          <w:sz w:val="22"/>
          <w:szCs w:val="22"/>
          <w:highlight w:val="yellow"/>
        </w:rPr>
        <w:t xml:space="preserve">, </w:t>
      </w:r>
      <w:r w:rsidR="00D96304" w:rsidRPr="00D96304">
        <w:rPr>
          <w:rFonts w:asciiTheme="majorHAnsi" w:hAnsiTheme="majorHAnsi" w:cs="Arial"/>
          <w:color w:val="000000"/>
          <w:sz w:val="22"/>
          <w:szCs w:val="22"/>
          <w:highlight w:val="yellow"/>
        </w:rPr>
        <w:t>etc.</w:t>
      </w:r>
      <w:r w:rsidR="004C1792" w:rsidRPr="00D96304">
        <w:rPr>
          <w:rFonts w:asciiTheme="majorHAnsi" w:hAnsiTheme="majorHAnsi" w:cs="Arial"/>
          <w:color w:val="000000"/>
          <w:sz w:val="22"/>
          <w:szCs w:val="22"/>
          <w:highlight w:val="yellow"/>
        </w:rPr>
        <w:t>)</w:t>
      </w:r>
      <w:r w:rsidR="00D96304">
        <w:rPr>
          <w:rFonts w:asciiTheme="majorHAnsi" w:hAnsiTheme="majorHAnsi" w:cs="Arial"/>
          <w:color w:val="000000"/>
          <w:sz w:val="22"/>
          <w:szCs w:val="22"/>
        </w:rPr>
        <w:t xml:space="preserve">. </w:t>
      </w:r>
    </w:p>
    <w:p w14:paraId="593714AB" w14:textId="77777777" w:rsidR="00A61F69" w:rsidRDefault="00A61F69" w:rsidP="00A02114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3120CA1A" w14:textId="77777777" w:rsidR="001540EC" w:rsidRDefault="001540EC" w:rsidP="001540EC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 w:cs="Arial"/>
          <w:b/>
          <w:color w:val="000000"/>
          <w:sz w:val="22"/>
          <w:szCs w:val="22"/>
        </w:rPr>
      </w:pPr>
      <w:commentRangeStart w:id="2"/>
      <w:r w:rsidRPr="001540EC">
        <w:rPr>
          <w:rFonts w:asciiTheme="majorHAnsi" w:hAnsiTheme="majorHAnsi" w:cs="Arial"/>
          <w:b/>
          <w:bCs/>
          <w:color w:val="000000"/>
          <w:sz w:val="22"/>
          <w:szCs w:val="22"/>
        </w:rPr>
        <w:t>Organizational Chart</w:t>
      </w:r>
      <w:commentRangeEnd w:id="2"/>
      <w:r w:rsidR="00EB480B">
        <w:rPr>
          <w:rStyle w:val="CommentReference"/>
        </w:rPr>
        <w:commentReference w:id="2"/>
      </w:r>
    </w:p>
    <w:p w14:paraId="51F60316" w14:textId="77777777" w:rsidR="00A02114" w:rsidRPr="001540EC" w:rsidRDefault="001540EC" w:rsidP="001540EC">
      <w:pPr>
        <w:pStyle w:val="ListParagraph"/>
        <w:ind w:left="1080"/>
        <w:rPr>
          <w:rFonts w:asciiTheme="majorHAnsi" w:hAnsiTheme="majorHAnsi" w:cs="Arial"/>
          <w:i/>
          <w:color w:val="000000"/>
          <w:sz w:val="22"/>
          <w:szCs w:val="22"/>
        </w:rPr>
      </w:pPr>
      <w:r w:rsidRPr="001540EC">
        <w:rPr>
          <w:rFonts w:asciiTheme="majorHAnsi" w:hAnsiTheme="majorHAnsi" w:cs="Arial"/>
          <w:i/>
          <w:color w:val="000000"/>
          <w:sz w:val="22"/>
          <w:szCs w:val="22"/>
        </w:rPr>
        <w:t>(</w:t>
      </w:r>
      <w:r w:rsidR="00A02114" w:rsidRPr="001540EC">
        <w:rPr>
          <w:rFonts w:asciiTheme="majorHAnsi" w:hAnsiTheme="majorHAnsi" w:cs="Arial"/>
          <w:i/>
          <w:color w:val="000000"/>
          <w:sz w:val="22"/>
          <w:szCs w:val="22"/>
        </w:rPr>
        <w:t>Insert Organizational Chart</w:t>
      </w:r>
      <w:r w:rsidRPr="001540EC">
        <w:rPr>
          <w:rFonts w:asciiTheme="majorHAnsi" w:hAnsiTheme="majorHAnsi" w:cs="Arial"/>
          <w:i/>
          <w:color w:val="000000"/>
          <w:sz w:val="22"/>
          <w:szCs w:val="22"/>
        </w:rPr>
        <w:t>)</w:t>
      </w:r>
    </w:p>
    <w:p w14:paraId="65E1534F" w14:textId="77777777" w:rsidR="00A02114" w:rsidRDefault="00A61F69" w:rsidP="004C1792">
      <w:pPr>
        <w:ind w:left="360"/>
      </w:pPr>
      <w:r>
        <w:object w:dxaOrig="8815" w:dyaOrig="5474" w14:anchorId="1CF07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274.5pt" o:ole="">
            <v:imagedata r:id="rId11" o:title=""/>
          </v:shape>
          <o:OLEObject Type="Embed" ProgID="Visio.Drawing.11" ShapeID="_x0000_i1025" DrawAspect="Content" ObjectID="_1601121443" r:id="rId12"/>
        </w:object>
      </w:r>
    </w:p>
    <w:p w14:paraId="1045E242" w14:textId="77777777" w:rsidR="00A61F69" w:rsidRDefault="00A61F69" w:rsidP="004C1792">
      <w:pPr>
        <w:ind w:left="360"/>
      </w:pPr>
    </w:p>
    <w:p w14:paraId="6405A84F" w14:textId="77777777" w:rsidR="00A61F69" w:rsidRPr="004C1792" w:rsidRDefault="00A61F69" w:rsidP="004C1792">
      <w:pPr>
        <w:ind w:left="360"/>
        <w:rPr>
          <w:rFonts w:asciiTheme="majorHAnsi" w:hAnsiTheme="majorHAnsi" w:cs="Arial"/>
          <w:color w:val="000000"/>
          <w:sz w:val="22"/>
          <w:szCs w:val="22"/>
        </w:rPr>
      </w:pPr>
    </w:p>
    <w:p w14:paraId="4816D097" w14:textId="77777777" w:rsidR="004C1792" w:rsidRPr="004C1792" w:rsidRDefault="004C1792" w:rsidP="002E1AEB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 w:cs="Arial"/>
          <w:b/>
          <w:color w:val="000000"/>
          <w:sz w:val="22"/>
          <w:szCs w:val="22"/>
        </w:rPr>
      </w:pPr>
      <w:commentRangeStart w:id="3"/>
      <w:r>
        <w:rPr>
          <w:rFonts w:asciiTheme="majorHAnsi" w:hAnsiTheme="majorHAnsi" w:cs="Arial"/>
          <w:b/>
          <w:bCs/>
          <w:color w:val="000000"/>
          <w:sz w:val="22"/>
          <w:szCs w:val="22"/>
        </w:rPr>
        <w:t>Definitions</w:t>
      </w:r>
      <w:commentRangeEnd w:id="3"/>
      <w:r w:rsidR="009A032D">
        <w:rPr>
          <w:rStyle w:val="CommentReference"/>
        </w:rPr>
        <w:commentReference w:id="3"/>
      </w:r>
      <w:r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</w:t>
      </w:r>
    </w:p>
    <w:p w14:paraId="2E4D0E4B" w14:textId="77777777" w:rsidR="00A22054" w:rsidRPr="00D17E1C" w:rsidRDefault="00A22054" w:rsidP="00A22054">
      <w:pPr>
        <w:pStyle w:val="Default"/>
        <w:rPr>
          <w:rFonts w:asciiTheme="majorHAnsi" w:hAnsiTheme="majorHAnsi" w:cs="Arial"/>
          <w:b/>
          <w:sz w:val="22"/>
          <w:szCs w:val="22"/>
        </w:rPr>
      </w:pPr>
    </w:p>
    <w:p w14:paraId="5D2A1A20" w14:textId="77777777" w:rsidR="00A22054" w:rsidRPr="00D17E1C" w:rsidRDefault="00A22054" w:rsidP="001540EC">
      <w:pPr>
        <w:pStyle w:val="Default"/>
        <w:ind w:left="360"/>
        <w:rPr>
          <w:rFonts w:asciiTheme="majorHAnsi" w:hAnsiTheme="majorHAnsi"/>
          <w:sz w:val="22"/>
          <w:szCs w:val="22"/>
        </w:rPr>
      </w:pPr>
      <w:r w:rsidRPr="00D17E1C">
        <w:rPr>
          <w:rFonts w:asciiTheme="majorHAnsi" w:hAnsiTheme="majorHAnsi"/>
          <w:b/>
          <w:bCs/>
          <w:sz w:val="22"/>
          <w:szCs w:val="22"/>
        </w:rPr>
        <w:t xml:space="preserve">200.405 Allocable costs – </w:t>
      </w:r>
      <w:r w:rsidRPr="00D17E1C">
        <w:rPr>
          <w:rFonts w:asciiTheme="majorHAnsi" w:hAnsiTheme="majorHAnsi"/>
          <w:sz w:val="22"/>
          <w:szCs w:val="22"/>
        </w:rPr>
        <w:t xml:space="preserve">A cost is allocable to a particular Federal award or other cost objective if the goods or services involved are chargeable or assignable to </w:t>
      </w:r>
      <w:r w:rsidR="00FD2C4B">
        <w:rPr>
          <w:rFonts w:asciiTheme="majorHAnsi" w:hAnsiTheme="majorHAnsi"/>
          <w:sz w:val="22"/>
          <w:szCs w:val="22"/>
        </w:rPr>
        <w:t>a</w:t>
      </w:r>
      <w:r w:rsidRPr="00D17E1C">
        <w:rPr>
          <w:rFonts w:asciiTheme="majorHAnsi" w:hAnsiTheme="majorHAnsi"/>
          <w:sz w:val="22"/>
          <w:szCs w:val="22"/>
        </w:rPr>
        <w:t xml:space="preserve"> Federal award or cost objective in accordance with relative benefits received.</w:t>
      </w:r>
    </w:p>
    <w:p w14:paraId="33393762" w14:textId="77777777" w:rsidR="00A22054" w:rsidRPr="00D17E1C" w:rsidRDefault="00A22054" w:rsidP="001540EC">
      <w:pPr>
        <w:pStyle w:val="Default"/>
        <w:ind w:left="360"/>
        <w:rPr>
          <w:rFonts w:asciiTheme="majorHAnsi" w:hAnsiTheme="majorHAnsi"/>
          <w:sz w:val="22"/>
          <w:szCs w:val="22"/>
        </w:rPr>
      </w:pPr>
      <w:r w:rsidRPr="00D17E1C">
        <w:rPr>
          <w:rFonts w:asciiTheme="majorHAnsi" w:hAnsiTheme="majorHAnsi"/>
          <w:b/>
          <w:bCs/>
          <w:sz w:val="22"/>
          <w:szCs w:val="22"/>
        </w:rPr>
        <w:t>200.413 Direct Costs –</w:t>
      </w:r>
      <w:r w:rsidRPr="00D17E1C">
        <w:rPr>
          <w:rFonts w:asciiTheme="majorHAnsi" w:hAnsiTheme="majorHAnsi"/>
          <w:sz w:val="22"/>
          <w:szCs w:val="22"/>
        </w:rPr>
        <w:t xml:space="preserve">identifiable specifically to a particular cost center or program. </w:t>
      </w:r>
    </w:p>
    <w:p w14:paraId="081CB0F9" w14:textId="4435BDAC" w:rsidR="0018250A" w:rsidRDefault="0018250A" w:rsidP="001540EC">
      <w:pPr>
        <w:pStyle w:val="Default"/>
        <w:ind w:left="36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Direct Shared Costs - </w:t>
      </w:r>
      <w:r>
        <w:rPr>
          <w:rFonts w:asciiTheme="majorHAnsi" w:hAnsiTheme="majorHAnsi" w:cs="Arial"/>
          <w:sz w:val="22"/>
          <w:szCs w:val="22"/>
        </w:rPr>
        <w:t>Direct expenses that benefit more than one funding source.</w:t>
      </w:r>
    </w:p>
    <w:p w14:paraId="350E8ACF" w14:textId="4E2F4FFE" w:rsidR="00A22054" w:rsidRPr="00D17E1C" w:rsidRDefault="00A22054" w:rsidP="001540EC">
      <w:pPr>
        <w:pStyle w:val="Default"/>
        <w:ind w:left="360"/>
        <w:rPr>
          <w:rFonts w:asciiTheme="majorHAnsi" w:hAnsiTheme="majorHAnsi"/>
          <w:sz w:val="22"/>
          <w:szCs w:val="22"/>
        </w:rPr>
      </w:pPr>
      <w:r w:rsidRPr="00D17E1C">
        <w:rPr>
          <w:rFonts w:asciiTheme="majorHAnsi" w:hAnsiTheme="majorHAnsi"/>
          <w:b/>
          <w:bCs/>
          <w:sz w:val="22"/>
          <w:szCs w:val="22"/>
        </w:rPr>
        <w:t>200.56 Indirect Costs –</w:t>
      </w:r>
      <w:r w:rsidRPr="00D17E1C">
        <w:rPr>
          <w:rFonts w:asciiTheme="majorHAnsi" w:hAnsiTheme="majorHAnsi"/>
          <w:sz w:val="22"/>
          <w:szCs w:val="22"/>
        </w:rPr>
        <w:t xml:space="preserve">incurred for common or joint programs and cannot be readily identified with a particular cost center or program. </w:t>
      </w:r>
    </w:p>
    <w:p w14:paraId="09F009BC" w14:textId="77777777" w:rsidR="00A22054" w:rsidRPr="00D17E1C" w:rsidRDefault="00A22054" w:rsidP="001540EC">
      <w:pPr>
        <w:pStyle w:val="Default"/>
        <w:ind w:left="360"/>
        <w:rPr>
          <w:rFonts w:asciiTheme="majorHAnsi" w:hAnsiTheme="majorHAnsi"/>
          <w:sz w:val="22"/>
          <w:szCs w:val="22"/>
        </w:rPr>
      </w:pPr>
      <w:r w:rsidRPr="00D17E1C">
        <w:rPr>
          <w:rFonts w:asciiTheme="majorHAnsi" w:hAnsiTheme="majorHAnsi"/>
          <w:b/>
          <w:sz w:val="22"/>
          <w:szCs w:val="22"/>
        </w:rPr>
        <w:t>200.28 Cost Objective</w:t>
      </w:r>
      <w:r w:rsidRPr="00D17E1C">
        <w:rPr>
          <w:rFonts w:asciiTheme="majorHAnsi" w:hAnsiTheme="majorHAnsi"/>
          <w:sz w:val="22"/>
          <w:szCs w:val="22"/>
        </w:rPr>
        <w:t xml:space="preserve"> – A program, function, activity, award, organizational subdivision, contract, or work unit for which cost data are desired.</w:t>
      </w:r>
    </w:p>
    <w:p w14:paraId="58B21F4D" w14:textId="77777777" w:rsidR="00A22054" w:rsidRPr="00D17E1C" w:rsidRDefault="00A22054" w:rsidP="001540EC">
      <w:pPr>
        <w:pStyle w:val="Default"/>
        <w:ind w:left="360"/>
        <w:rPr>
          <w:rFonts w:asciiTheme="majorHAnsi" w:hAnsiTheme="majorHAnsi"/>
          <w:sz w:val="22"/>
          <w:szCs w:val="22"/>
        </w:rPr>
      </w:pPr>
      <w:r w:rsidRPr="00D17E1C">
        <w:rPr>
          <w:rFonts w:asciiTheme="majorHAnsi" w:hAnsiTheme="majorHAnsi"/>
          <w:b/>
          <w:sz w:val="22"/>
          <w:szCs w:val="22"/>
        </w:rPr>
        <w:t>200.60 Intermediate Cost Objective</w:t>
      </w:r>
      <w:r w:rsidRPr="00D17E1C">
        <w:rPr>
          <w:rFonts w:asciiTheme="majorHAnsi" w:hAnsiTheme="majorHAnsi"/>
          <w:sz w:val="22"/>
          <w:szCs w:val="22"/>
        </w:rPr>
        <w:t xml:space="preserve"> – A cost objective used to accumulate shared costs subsequently allocated to one or more cost pools or final cost objectives.</w:t>
      </w:r>
    </w:p>
    <w:p w14:paraId="4467BB0B" w14:textId="3525F729" w:rsidR="00A22054" w:rsidRDefault="00A22054" w:rsidP="001540EC">
      <w:pPr>
        <w:pStyle w:val="Default"/>
        <w:ind w:left="360"/>
        <w:rPr>
          <w:rFonts w:asciiTheme="majorHAnsi" w:hAnsiTheme="majorHAnsi"/>
          <w:sz w:val="22"/>
          <w:szCs w:val="22"/>
        </w:rPr>
      </w:pPr>
      <w:r w:rsidRPr="00D17E1C">
        <w:rPr>
          <w:rFonts w:asciiTheme="majorHAnsi" w:hAnsiTheme="majorHAnsi"/>
          <w:b/>
          <w:sz w:val="22"/>
          <w:szCs w:val="22"/>
        </w:rPr>
        <w:lastRenderedPageBreak/>
        <w:t>200.44 Final Cost Objective</w:t>
      </w:r>
      <w:r w:rsidRPr="00D17E1C">
        <w:rPr>
          <w:rFonts w:asciiTheme="majorHAnsi" w:hAnsiTheme="majorHAnsi"/>
          <w:sz w:val="22"/>
          <w:szCs w:val="22"/>
        </w:rPr>
        <w:t xml:space="preserve"> – Sum of direct, shared and indirect costs.</w:t>
      </w:r>
    </w:p>
    <w:p w14:paraId="0C87BB76" w14:textId="77777777" w:rsidR="0018250A" w:rsidRPr="00D17E1C" w:rsidRDefault="0018250A" w:rsidP="001540EC">
      <w:pPr>
        <w:pStyle w:val="Default"/>
        <w:ind w:left="360"/>
        <w:rPr>
          <w:rFonts w:asciiTheme="majorHAnsi" w:hAnsiTheme="majorHAnsi"/>
          <w:sz w:val="22"/>
          <w:szCs w:val="22"/>
        </w:rPr>
      </w:pPr>
    </w:p>
    <w:p w14:paraId="5A7F6851" w14:textId="77777777" w:rsidR="005D5881" w:rsidRPr="00D17E1C" w:rsidRDefault="005D5881" w:rsidP="001540EC">
      <w:pPr>
        <w:ind w:left="360"/>
        <w:rPr>
          <w:rFonts w:asciiTheme="majorHAnsi" w:hAnsiTheme="majorHAnsi" w:cs="Arial"/>
          <w:color w:val="000000"/>
          <w:sz w:val="22"/>
          <w:szCs w:val="22"/>
        </w:rPr>
      </w:pPr>
      <w:r w:rsidRPr="00D17E1C">
        <w:rPr>
          <w:rFonts w:asciiTheme="majorHAnsi" w:hAnsiTheme="majorHAnsi" w:cs="Arial"/>
          <w:b/>
          <w:color w:val="000000"/>
          <w:sz w:val="22"/>
          <w:szCs w:val="22"/>
        </w:rPr>
        <w:t>2 CFR 200 Subpart E Cost Principles Unallowable Costs –</w:t>
      </w:r>
      <w:r w:rsidRPr="00D17E1C">
        <w:rPr>
          <w:rFonts w:asciiTheme="majorHAnsi" w:hAnsiTheme="majorHAnsi" w:cs="Arial"/>
          <w:color w:val="000000"/>
          <w:sz w:val="22"/>
          <w:szCs w:val="22"/>
        </w:rPr>
        <w:t xml:space="preserve"> Costs unallowable, including alcoholic beverages, bad debts, advertising (other than help-wanted ads), contributions, entertainment, fines and penalties. Lobbying and fundraising costs are unallowable, however, are treated as direct costs and allocated their share of general and administrative expenses.</w:t>
      </w:r>
    </w:p>
    <w:p w14:paraId="64D1C4AA" w14:textId="77777777" w:rsidR="005D385D" w:rsidRPr="00D17E1C" w:rsidRDefault="005D385D" w:rsidP="005D385D">
      <w:pPr>
        <w:pStyle w:val="ListParagraph"/>
        <w:ind w:left="1080"/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5E729468" w14:textId="77777777" w:rsidR="004B4B36" w:rsidRPr="002E1AEB" w:rsidRDefault="002E1AEB" w:rsidP="002E1AEB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/>
          <w:b/>
          <w:sz w:val="22"/>
          <w:szCs w:val="22"/>
        </w:rPr>
      </w:pPr>
      <w:r w:rsidRPr="002E1AEB">
        <w:rPr>
          <w:rFonts w:asciiTheme="majorHAnsi" w:hAnsiTheme="majorHAnsi"/>
          <w:b/>
          <w:sz w:val="22"/>
          <w:szCs w:val="22"/>
        </w:rPr>
        <w:t>Purpose</w:t>
      </w:r>
    </w:p>
    <w:p w14:paraId="6CB45423" w14:textId="77777777" w:rsidR="00D41ABD" w:rsidRPr="00D17E1C" w:rsidRDefault="002E1AEB" w:rsidP="001540EC">
      <w:pPr>
        <w:pStyle w:val="Default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</w:t>
      </w:r>
      <w:r w:rsidR="00211FA4" w:rsidRPr="00D17E1C">
        <w:rPr>
          <w:rFonts w:asciiTheme="majorHAnsi" w:hAnsiTheme="majorHAnsi"/>
          <w:sz w:val="22"/>
          <w:szCs w:val="22"/>
        </w:rPr>
        <w:t xml:space="preserve"> cost allocation </w:t>
      </w:r>
      <w:r>
        <w:rPr>
          <w:rFonts w:asciiTheme="majorHAnsi" w:hAnsiTheme="majorHAnsi"/>
          <w:sz w:val="22"/>
          <w:szCs w:val="22"/>
        </w:rPr>
        <w:t xml:space="preserve">plan </w:t>
      </w:r>
      <w:r w:rsidR="00211FA4" w:rsidRPr="00D17E1C">
        <w:rPr>
          <w:rFonts w:asciiTheme="majorHAnsi" w:hAnsiTheme="majorHAnsi"/>
          <w:sz w:val="22"/>
          <w:szCs w:val="22"/>
        </w:rPr>
        <w:t xml:space="preserve">will be used to document, identify, and allocate all allowable </w:t>
      </w:r>
      <w:r>
        <w:rPr>
          <w:rFonts w:asciiTheme="majorHAnsi" w:hAnsiTheme="majorHAnsi"/>
          <w:sz w:val="22"/>
          <w:szCs w:val="22"/>
        </w:rPr>
        <w:t>direct</w:t>
      </w:r>
      <w:r w:rsidR="002207D1">
        <w:rPr>
          <w:rFonts w:asciiTheme="majorHAnsi" w:hAnsiTheme="majorHAnsi"/>
          <w:sz w:val="22"/>
          <w:szCs w:val="22"/>
        </w:rPr>
        <w:t xml:space="preserve"> </w:t>
      </w:r>
      <w:r w:rsidR="00211FA4" w:rsidRPr="00D17E1C">
        <w:rPr>
          <w:rFonts w:asciiTheme="majorHAnsi" w:hAnsiTheme="majorHAnsi"/>
          <w:sz w:val="22"/>
          <w:szCs w:val="22"/>
        </w:rPr>
        <w:t xml:space="preserve">costs of </w:t>
      </w:r>
      <w:r w:rsidR="00831075">
        <w:rPr>
          <w:rFonts w:asciiTheme="majorHAnsi" w:hAnsiTheme="majorHAnsi"/>
          <w:sz w:val="22"/>
          <w:szCs w:val="22"/>
        </w:rPr>
        <w:t xml:space="preserve">the </w:t>
      </w:r>
      <w:commentRangeStart w:id="4"/>
      <w:r w:rsidR="00B81976" w:rsidRPr="00B81976">
        <w:rPr>
          <w:rFonts w:asciiTheme="majorHAnsi" w:hAnsiTheme="majorHAnsi"/>
          <w:sz w:val="22"/>
          <w:szCs w:val="22"/>
          <w:highlight w:val="yellow"/>
        </w:rPr>
        <w:t>[Entity]</w:t>
      </w:r>
      <w:r w:rsidR="00211FA4" w:rsidRPr="00D17E1C">
        <w:rPr>
          <w:rFonts w:asciiTheme="majorHAnsi" w:hAnsiTheme="majorHAnsi"/>
          <w:sz w:val="22"/>
          <w:szCs w:val="22"/>
        </w:rPr>
        <w:t xml:space="preserve">. </w:t>
      </w:r>
      <w:commentRangeEnd w:id="4"/>
      <w:r w:rsidR="00EB480B">
        <w:rPr>
          <w:rStyle w:val="CommentReference"/>
          <w:rFonts w:eastAsia="Times New Roman"/>
          <w:color w:val="auto"/>
        </w:rPr>
        <w:commentReference w:id="4"/>
      </w:r>
      <w:r w:rsidR="00211FA4" w:rsidRPr="00D17E1C">
        <w:rPr>
          <w:rFonts w:asciiTheme="majorHAnsi" w:hAnsiTheme="majorHAnsi"/>
          <w:sz w:val="22"/>
          <w:szCs w:val="22"/>
        </w:rPr>
        <w:t xml:space="preserve">When an allocation can be assigned directly to a program or </w:t>
      </w:r>
      <w:r>
        <w:rPr>
          <w:rFonts w:asciiTheme="majorHAnsi" w:hAnsiTheme="majorHAnsi"/>
          <w:sz w:val="22"/>
          <w:szCs w:val="22"/>
        </w:rPr>
        <w:t>funding source</w:t>
      </w:r>
      <w:r w:rsidR="00211FA4" w:rsidRPr="00D17E1C">
        <w:rPr>
          <w:rFonts w:asciiTheme="majorHAnsi" w:hAnsiTheme="majorHAnsi"/>
          <w:sz w:val="22"/>
          <w:szCs w:val="22"/>
        </w:rPr>
        <w:t>, the allocation shall be made in that manner.</w:t>
      </w:r>
      <w:r w:rsidR="00043980" w:rsidRPr="00D17E1C">
        <w:rPr>
          <w:rFonts w:asciiTheme="majorHAnsi" w:hAnsiTheme="majorHAnsi"/>
          <w:sz w:val="22"/>
          <w:szCs w:val="22"/>
        </w:rPr>
        <w:t xml:space="preserve"> When it is not possible or practical to direct charge to a specific </w:t>
      </w:r>
      <w:r>
        <w:rPr>
          <w:rFonts w:asciiTheme="majorHAnsi" w:hAnsiTheme="majorHAnsi"/>
          <w:sz w:val="22"/>
          <w:szCs w:val="22"/>
        </w:rPr>
        <w:t>funding source</w:t>
      </w:r>
      <w:r w:rsidR="00043980" w:rsidRPr="00D17E1C">
        <w:rPr>
          <w:rFonts w:asciiTheme="majorHAnsi" w:hAnsiTheme="majorHAnsi"/>
          <w:sz w:val="22"/>
          <w:szCs w:val="22"/>
        </w:rPr>
        <w:t xml:space="preserve">, </w:t>
      </w:r>
      <w:r w:rsidR="00D96304">
        <w:rPr>
          <w:rFonts w:asciiTheme="majorHAnsi" w:hAnsiTheme="majorHAnsi"/>
          <w:sz w:val="22"/>
          <w:szCs w:val="22"/>
        </w:rPr>
        <w:t xml:space="preserve">the </w:t>
      </w:r>
      <w:r w:rsidR="00B81976" w:rsidRPr="00B81976">
        <w:rPr>
          <w:rFonts w:asciiTheme="majorHAnsi" w:hAnsiTheme="majorHAnsi"/>
          <w:sz w:val="22"/>
          <w:szCs w:val="22"/>
          <w:highlight w:val="yellow"/>
        </w:rPr>
        <w:t>[Entity]</w:t>
      </w:r>
      <w:r w:rsidR="00043980" w:rsidRPr="00D17E1C">
        <w:rPr>
          <w:rFonts w:asciiTheme="majorHAnsi" w:hAnsiTheme="majorHAnsi"/>
          <w:sz w:val="22"/>
          <w:szCs w:val="22"/>
        </w:rPr>
        <w:t xml:space="preserve">will use an intermediate cost </w:t>
      </w:r>
      <w:r>
        <w:rPr>
          <w:rFonts w:asciiTheme="majorHAnsi" w:hAnsiTheme="majorHAnsi"/>
          <w:sz w:val="22"/>
          <w:szCs w:val="22"/>
        </w:rPr>
        <w:t xml:space="preserve">allocation </w:t>
      </w:r>
      <w:r w:rsidR="00D41ABD" w:rsidRPr="00D17E1C">
        <w:rPr>
          <w:rFonts w:asciiTheme="majorHAnsi" w:hAnsiTheme="majorHAnsi"/>
          <w:sz w:val="22"/>
          <w:szCs w:val="22"/>
        </w:rPr>
        <w:t>using the following standards:</w:t>
      </w:r>
    </w:p>
    <w:p w14:paraId="5D0CB44E" w14:textId="77777777" w:rsidR="00211FA4" w:rsidRPr="00D17E1C" w:rsidRDefault="00043980" w:rsidP="008D4A93">
      <w:pPr>
        <w:pStyle w:val="Defaul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D17E1C">
        <w:rPr>
          <w:rFonts w:asciiTheme="majorHAnsi" w:hAnsiTheme="majorHAnsi"/>
          <w:sz w:val="22"/>
          <w:szCs w:val="22"/>
        </w:rPr>
        <w:t xml:space="preserve">The </w:t>
      </w:r>
      <w:r w:rsidR="002E1AEB">
        <w:rPr>
          <w:rFonts w:asciiTheme="majorHAnsi" w:hAnsiTheme="majorHAnsi"/>
          <w:sz w:val="22"/>
          <w:szCs w:val="22"/>
        </w:rPr>
        <w:t>allocation</w:t>
      </w:r>
      <w:r w:rsidR="00211FA4" w:rsidRPr="00D17E1C">
        <w:rPr>
          <w:rFonts w:asciiTheme="majorHAnsi" w:hAnsiTheme="majorHAnsi"/>
          <w:sz w:val="22"/>
          <w:szCs w:val="22"/>
        </w:rPr>
        <w:t xml:space="preserve"> will recognize all costs charged to the agency and not just the cost charge</w:t>
      </w:r>
      <w:r w:rsidR="00D52D7C" w:rsidRPr="00D17E1C">
        <w:rPr>
          <w:rFonts w:asciiTheme="majorHAnsi" w:hAnsiTheme="majorHAnsi"/>
          <w:sz w:val="22"/>
          <w:szCs w:val="22"/>
        </w:rPr>
        <w:t>d to federal or state programs,</w:t>
      </w:r>
    </w:p>
    <w:p w14:paraId="4B6DFC43" w14:textId="77777777" w:rsidR="00D41ABD" w:rsidRPr="00D17E1C" w:rsidRDefault="002E1AEB" w:rsidP="008D4A93">
      <w:pPr>
        <w:pStyle w:val="Defaul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Allocations will use</w:t>
      </w:r>
      <w:r w:rsidR="00D52D7C" w:rsidRPr="00D17E1C">
        <w:rPr>
          <w:rFonts w:asciiTheme="majorHAnsi" w:hAnsiTheme="majorHAnsi"/>
          <w:sz w:val="22"/>
          <w:szCs w:val="22"/>
        </w:rPr>
        <w:t xml:space="preserve"> an acceptable allocation base</w:t>
      </w:r>
      <w:r w:rsidR="00A22054" w:rsidRPr="00D17E1C">
        <w:rPr>
          <w:rFonts w:asciiTheme="majorHAnsi" w:hAnsiTheme="majorHAnsi"/>
          <w:sz w:val="22"/>
          <w:szCs w:val="22"/>
        </w:rPr>
        <w:t xml:space="preserve"> directly related to the types of costs being allocated</w:t>
      </w:r>
      <w:r w:rsidR="00D52D7C" w:rsidRPr="00D17E1C">
        <w:rPr>
          <w:rFonts w:asciiTheme="majorHAnsi" w:hAnsiTheme="majorHAnsi"/>
          <w:sz w:val="22"/>
          <w:szCs w:val="22"/>
        </w:rPr>
        <w:t>,</w:t>
      </w:r>
      <w:r w:rsidR="00D41ABD" w:rsidRPr="00D17E1C">
        <w:rPr>
          <w:rFonts w:asciiTheme="majorHAnsi" w:hAnsiTheme="majorHAnsi"/>
          <w:sz w:val="22"/>
          <w:szCs w:val="22"/>
        </w:rPr>
        <w:t xml:space="preserve"> </w:t>
      </w:r>
    </w:p>
    <w:p w14:paraId="55736DB5" w14:textId="77777777" w:rsidR="00D52D7C" w:rsidRPr="00D17E1C" w:rsidRDefault="00D52D7C" w:rsidP="008D4A93">
      <w:pPr>
        <w:pStyle w:val="Defaul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D17E1C">
        <w:rPr>
          <w:rFonts w:asciiTheme="majorHAnsi" w:hAnsiTheme="majorHAnsi"/>
          <w:sz w:val="22"/>
          <w:szCs w:val="22"/>
        </w:rPr>
        <w:t>Only actual, not budgeted, costs may be pooled,</w:t>
      </w:r>
    </w:p>
    <w:p w14:paraId="48448AA6" w14:textId="77777777" w:rsidR="00D52D7C" w:rsidRPr="00D17E1C" w:rsidRDefault="00D52D7C" w:rsidP="008D4A93">
      <w:pPr>
        <w:pStyle w:val="Defaul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D17E1C">
        <w:rPr>
          <w:rFonts w:asciiTheme="majorHAnsi" w:hAnsiTheme="majorHAnsi"/>
          <w:sz w:val="22"/>
          <w:szCs w:val="22"/>
        </w:rPr>
        <w:t xml:space="preserve">All costs in the </w:t>
      </w:r>
      <w:r w:rsidR="002E1AEB">
        <w:rPr>
          <w:rFonts w:asciiTheme="majorHAnsi" w:hAnsiTheme="majorHAnsi"/>
          <w:sz w:val="22"/>
          <w:szCs w:val="22"/>
        </w:rPr>
        <w:t>allocation</w:t>
      </w:r>
      <w:r w:rsidRPr="00D17E1C">
        <w:rPr>
          <w:rFonts w:asciiTheme="majorHAnsi" w:hAnsiTheme="majorHAnsi"/>
          <w:sz w:val="22"/>
          <w:szCs w:val="22"/>
        </w:rPr>
        <w:t xml:space="preserve"> </w:t>
      </w:r>
      <w:r w:rsidR="00FD2C4B">
        <w:rPr>
          <w:rFonts w:asciiTheme="majorHAnsi" w:hAnsiTheme="majorHAnsi"/>
          <w:sz w:val="22"/>
          <w:szCs w:val="22"/>
        </w:rPr>
        <w:t>will</w:t>
      </w:r>
      <w:r w:rsidRPr="00D17E1C">
        <w:rPr>
          <w:rFonts w:asciiTheme="majorHAnsi" w:hAnsiTheme="majorHAnsi"/>
          <w:sz w:val="22"/>
          <w:szCs w:val="22"/>
        </w:rPr>
        <w:t xml:space="preserve"> be allowable costs for all the </w:t>
      </w:r>
      <w:r w:rsidR="002E1AEB">
        <w:rPr>
          <w:rFonts w:asciiTheme="majorHAnsi" w:hAnsiTheme="majorHAnsi"/>
          <w:sz w:val="22"/>
          <w:szCs w:val="22"/>
        </w:rPr>
        <w:t>funding sources</w:t>
      </w:r>
      <w:r w:rsidRPr="00D17E1C">
        <w:rPr>
          <w:rFonts w:asciiTheme="majorHAnsi" w:hAnsiTheme="majorHAnsi"/>
          <w:sz w:val="22"/>
          <w:szCs w:val="22"/>
        </w:rPr>
        <w:t xml:space="preserve"> to which the </w:t>
      </w:r>
      <w:r w:rsidR="002E1AEB">
        <w:rPr>
          <w:rFonts w:asciiTheme="majorHAnsi" w:hAnsiTheme="majorHAnsi"/>
          <w:sz w:val="22"/>
          <w:szCs w:val="22"/>
        </w:rPr>
        <w:t>funding source</w:t>
      </w:r>
      <w:r w:rsidRPr="00D17E1C">
        <w:rPr>
          <w:rFonts w:asciiTheme="majorHAnsi" w:hAnsiTheme="majorHAnsi"/>
          <w:sz w:val="22"/>
          <w:szCs w:val="22"/>
        </w:rPr>
        <w:t xml:space="preserve"> will subsequently be allocated</w:t>
      </w:r>
      <w:r w:rsidR="002207D1">
        <w:rPr>
          <w:rFonts w:asciiTheme="majorHAnsi" w:hAnsiTheme="majorHAnsi"/>
          <w:sz w:val="22"/>
          <w:szCs w:val="22"/>
        </w:rPr>
        <w:t xml:space="preserve"> to</w:t>
      </w:r>
      <w:r w:rsidRPr="00D17E1C">
        <w:rPr>
          <w:rFonts w:asciiTheme="majorHAnsi" w:hAnsiTheme="majorHAnsi"/>
          <w:sz w:val="22"/>
          <w:szCs w:val="22"/>
        </w:rPr>
        <w:t>.</w:t>
      </w:r>
    </w:p>
    <w:p w14:paraId="0887F09A" w14:textId="77777777" w:rsidR="00A22054" w:rsidRPr="00D17E1C" w:rsidRDefault="00A22054" w:rsidP="00211FA4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22605CE" w14:textId="4112D2F3" w:rsidR="0027264C" w:rsidRDefault="0027264C" w:rsidP="001540EC">
      <w:pPr>
        <w:pStyle w:val="Default"/>
        <w:ind w:left="360"/>
        <w:rPr>
          <w:rFonts w:asciiTheme="majorHAnsi" w:hAnsiTheme="majorHAnsi"/>
          <w:b/>
          <w:sz w:val="22"/>
          <w:szCs w:val="22"/>
        </w:rPr>
      </w:pPr>
      <w:commentRangeStart w:id="5"/>
      <w:r w:rsidRPr="00D17E1C">
        <w:rPr>
          <w:rFonts w:asciiTheme="majorHAnsi" w:hAnsiTheme="majorHAnsi"/>
          <w:b/>
          <w:sz w:val="22"/>
          <w:szCs w:val="22"/>
        </w:rPr>
        <w:t>Basis used for the allocation of costs include</w:t>
      </w:r>
      <w:r w:rsidR="009A032D">
        <w:rPr>
          <w:rFonts w:asciiTheme="majorHAnsi" w:hAnsiTheme="majorHAnsi"/>
          <w:b/>
          <w:sz w:val="22"/>
          <w:szCs w:val="22"/>
        </w:rPr>
        <w:t>:</w:t>
      </w:r>
      <w:commentRangeEnd w:id="5"/>
      <w:r w:rsidR="009A032D">
        <w:rPr>
          <w:rStyle w:val="CommentReference"/>
          <w:rFonts w:eastAsia="Times New Roman"/>
          <w:color w:val="auto"/>
        </w:rPr>
        <w:commentReference w:id="5"/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446746">
        <w:rPr>
          <w:rFonts w:asciiTheme="majorHAnsi" w:hAnsiTheme="majorHAnsi"/>
          <w:sz w:val="22"/>
          <w:szCs w:val="22"/>
          <w:highlight w:val="yellow"/>
        </w:rPr>
        <w:t>(For template purposes, the list includes frequently used basis</w:t>
      </w:r>
      <w:r w:rsidR="008A6C02" w:rsidRPr="00446746">
        <w:rPr>
          <w:rFonts w:asciiTheme="majorHAnsi" w:hAnsiTheme="majorHAnsi"/>
          <w:sz w:val="22"/>
          <w:szCs w:val="22"/>
          <w:highlight w:val="yellow"/>
        </w:rPr>
        <w:t xml:space="preserve"> – underlined basis were used in this CAP example</w:t>
      </w:r>
      <w:r w:rsidRPr="00446746">
        <w:rPr>
          <w:rFonts w:asciiTheme="majorHAnsi" w:hAnsiTheme="majorHAnsi"/>
          <w:sz w:val="22"/>
          <w:szCs w:val="22"/>
          <w:highlight w:val="yellow"/>
        </w:rPr>
        <w:t>)</w:t>
      </w:r>
    </w:p>
    <w:p w14:paraId="67B9A313" w14:textId="77777777" w:rsidR="002207D1" w:rsidRDefault="002207D1" w:rsidP="001540EC">
      <w:pPr>
        <w:pStyle w:val="Default"/>
        <w:ind w:left="360"/>
        <w:rPr>
          <w:rFonts w:asciiTheme="majorHAnsi" w:hAnsiTheme="majorHAnsi"/>
          <w:i/>
          <w:sz w:val="22"/>
          <w:szCs w:val="22"/>
        </w:rPr>
      </w:pPr>
      <w:r w:rsidRPr="00446746">
        <w:rPr>
          <w:rFonts w:asciiTheme="majorHAnsi" w:hAnsiTheme="majorHAnsi"/>
          <w:i/>
          <w:sz w:val="22"/>
          <w:szCs w:val="22"/>
          <w:highlight w:val="cyan"/>
        </w:rPr>
        <w:t>Note: The objective of a CAP is to keep it as simple as possible, so the goal should be to minimize the number of basis used, while still providing an equitable distribution of costs.</w:t>
      </w:r>
    </w:p>
    <w:p w14:paraId="57B1F7AD" w14:textId="77777777" w:rsidR="002207D1" w:rsidRDefault="002207D1" w:rsidP="0027264C">
      <w:pPr>
        <w:pStyle w:val="Default"/>
        <w:rPr>
          <w:rFonts w:asciiTheme="majorHAnsi" w:hAnsiTheme="majorHAnsi"/>
          <w:i/>
          <w:sz w:val="22"/>
          <w:szCs w:val="22"/>
        </w:rPr>
      </w:pPr>
    </w:p>
    <w:p w14:paraId="617797A4" w14:textId="77777777" w:rsidR="0027264C" w:rsidRPr="001B03F1" w:rsidRDefault="0027264C" w:rsidP="0027264C">
      <w:pPr>
        <w:pStyle w:val="Default"/>
        <w:numPr>
          <w:ilvl w:val="0"/>
          <w:numId w:val="12"/>
        </w:numPr>
        <w:rPr>
          <w:rFonts w:asciiTheme="majorHAnsi" w:hAnsiTheme="majorHAnsi"/>
          <w:sz w:val="22"/>
          <w:szCs w:val="22"/>
          <w:u w:val="single"/>
        </w:rPr>
      </w:pPr>
      <w:r w:rsidRPr="001B03F1">
        <w:rPr>
          <w:rFonts w:asciiTheme="majorHAnsi" w:hAnsiTheme="majorHAnsi"/>
          <w:sz w:val="22"/>
          <w:szCs w:val="22"/>
          <w:u w:val="single"/>
        </w:rPr>
        <w:t xml:space="preserve">Direct labor hours </w:t>
      </w:r>
    </w:p>
    <w:p w14:paraId="323E88A9" w14:textId="295D57C7" w:rsidR="00446746" w:rsidRPr="00446746" w:rsidRDefault="00446746" w:rsidP="0027264C">
      <w:pPr>
        <w:pStyle w:val="Defaul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446746">
        <w:rPr>
          <w:rFonts w:asciiTheme="majorHAnsi" w:hAnsiTheme="majorHAnsi"/>
          <w:sz w:val="22"/>
          <w:szCs w:val="22"/>
        </w:rPr>
        <w:t xml:space="preserve">Website Space (ratio of website designated for each </w:t>
      </w:r>
      <w:r>
        <w:rPr>
          <w:rFonts w:asciiTheme="majorHAnsi" w:hAnsiTheme="majorHAnsi"/>
          <w:sz w:val="22"/>
          <w:szCs w:val="22"/>
        </w:rPr>
        <w:t>program/activity)</w:t>
      </w:r>
    </w:p>
    <w:p w14:paraId="004F8208" w14:textId="15066ADE" w:rsidR="0027264C" w:rsidRPr="006C47E0" w:rsidRDefault="0027264C" w:rsidP="0027264C">
      <w:pPr>
        <w:pStyle w:val="Default"/>
        <w:numPr>
          <w:ilvl w:val="0"/>
          <w:numId w:val="12"/>
        </w:numPr>
        <w:rPr>
          <w:rFonts w:asciiTheme="majorHAnsi" w:hAnsiTheme="majorHAnsi"/>
          <w:sz w:val="22"/>
          <w:szCs w:val="22"/>
          <w:u w:val="single"/>
        </w:rPr>
      </w:pPr>
      <w:r w:rsidRPr="001B03F1">
        <w:rPr>
          <w:rFonts w:asciiTheme="majorHAnsi" w:hAnsiTheme="majorHAnsi"/>
          <w:sz w:val="22"/>
          <w:szCs w:val="22"/>
        </w:rPr>
        <w:t xml:space="preserve">Number of current </w:t>
      </w:r>
      <w:r w:rsidR="006C47E0" w:rsidRPr="001B03F1">
        <w:rPr>
          <w:rFonts w:asciiTheme="majorHAnsi" w:hAnsiTheme="majorHAnsi"/>
          <w:sz w:val="22"/>
          <w:szCs w:val="22"/>
        </w:rPr>
        <w:t>participants/</w:t>
      </w:r>
      <w:r w:rsidRPr="001B03F1">
        <w:rPr>
          <w:rFonts w:asciiTheme="majorHAnsi" w:hAnsiTheme="majorHAnsi"/>
          <w:sz w:val="22"/>
          <w:szCs w:val="22"/>
        </w:rPr>
        <w:t>enrollees</w:t>
      </w:r>
    </w:p>
    <w:p w14:paraId="053C0F74" w14:textId="77777777" w:rsidR="0027264C" w:rsidRPr="00D17E1C" w:rsidRDefault="00C1645E" w:rsidP="0027264C">
      <w:pPr>
        <w:pStyle w:val="Default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Participants served</w:t>
      </w:r>
      <w:r w:rsidR="0027264C" w:rsidRPr="00D17E1C">
        <w:rPr>
          <w:rFonts w:asciiTheme="majorHAnsi" w:hAnsiTheme="majorHAnsi"/>
          <w:sz w:val="22"/>
          <w:szCs w:val="22"/>
        </w:rPr>
        <w:t xml:space="preserve"> </w:t>
      </w:r>
    </w:p>
    <w:p w14:paraId="6C297E80" w14:textId="77777777" w:rsidR="00FD2C4B" w:rsidRDefault="00FD2C4B" w:rsidP="0027264C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EE6E6E8" w14:textId="77777777" w:rsidR="0027264C" w:rsidRPr="002E1AEB" w:rsidRDefault="00E64AE0" w:rsidP="002E1AEB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commentRangeStart w:id="6"/>
      <w:r>
        <w:rPr>
          <w:rFonts w:asciiTheme="majorHAnsi" w:hAnsiTheme="majorHAnsi" w:cs="Arial"/>
          <w:b/>
          <w:bCs/>
          <w:color w:val="000000"/>
          <w:sz w:val="22"/>
          <w:szCs w:val="22"/>
        </w:rPr>
        <w:t>Direct Expense Allocation Method</w:t>
      </w:r>
      <w:commentRangeEnd w:id="6"/>
      <w:r w:rsidR="009A032D">
        <w:rPr>
          <w:rStyle w:val="CommentReference"/>
        </w:rPr>
        <w:commentReference w:id="6"/>
      </w:r>
    </w:p>
    <w:p w14:paraId="4B34FCEA" w14:textId="77777777" w:rsidR="0027264C" w:rsidRPr="00D17E1C" w:rsidRDefault="0027264C" w:rsidP="0027264C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AD78469" w14:textId="77777777" w:rsidR="00C1645E" w:rsidRPr="00C1645E" w:rsidRDefault="0027264C" w:rsidP="00893170">
      <w:pPr>
        <w:pStyle w:val="ListParagraph"/>
        <w:numPr>
          <w:ilvl w:val="0"/>
          <w:numId w:val="24"/>
        </w:numPr>
        <w:rPr>
          <w:rFonts w:asciiTheme="majorHAnsi" w:hAnsiTheme="majorHAnsi" w:cs="Arial"/>
          <w:color w:val="000000"/>
          <w:sz w:val="22"/>
          <w:szCs w:val="22"/>
        </w:rPr>
      </w:pPr>
      <w:r w:rsidRPr="00893170">
        <w:rPr>
          <w:rFonts w:asciiTheme="majorHAnsi" w:hAnsiTheme="majorHAnsi" w:cs="Arial"/>
          <w:b/>
          <w:color w:val="000000"/>
          <w:sz w:val="22"/>
          <w:szCs w:val="22"/>
        </w:rPr>
        <w:t>Comp</w:t>
      </w:r>
      <w:r w:rsidR="00C1645E">
        <w:rPr>
          <w:rFonts w:asciiTheme="majorHAnsi" w:hAnsiTheme="majorHAnsi" w:cs="Arial"/>
          <w:b/>
          <w:color w:val="000000"/>
          <w:sz w:val="22"/>
          <w:szCs w:val="22"/>
        </w:rPr>
        <w:t xml:space="preserve">ensation for Personal Services </w:t>
      </w:r>
    </w:p>
    <w:p w14:paraId="48FF7D18" w14:textId="77777777" w:rsidR="00893170" w:rsidRDefault="0027264C" w:rsidP="00C1645E">
      <w:pPr>
        <w:pStyle w:val="ListParagraph"/>
        <w:rPr>
          <w:rFonts w:asciiTheme="majorHAnsi" w:hAnsiTheme="majorHAnsi" w:cs="Arial"/>
          <w:color w:val="000000"/>
          <w:sz w:val="22"/>
          <w:szCs w:val="22"/>
        </w:rPr>
      </w:pPr>
      <w:r w:rsidRPr="00893170">
        <w:rPr>
          <w:rFonts w:asciiTheme="majorHAnsi" w:hAnsiTheme="majorHAnsi" w:cs="Arial"/>
          <w:color w:val="000000"/>
          <w:sz w:val="22"/>
          <w:szCs w:val="22"/>
        </w:rPr>
        <w:t xml:space="preserve">Documented with timesheets showing time distribution for all employees </w:t>
      </w:r>
      <w:r w:rsidR="00893170">
        <w:rPr>
          <w:rFonts w:asciiTheme="majorHAnsi" w:hAnsiTheme="majorHAnsi" w:cs="Arial"/>
          <w:color w:val="000000"/>
          <w:sz w:val="22"/>
          <w:szCs w:val="22"/>
        </w:rPr>
        <w:t xml:space="preserve">on a daily basis </w:t>
      </w:r>
      <w:r w:rsidRPr="00893170">
        <w:rPr>
          <w:rFonts w:asciiTheme="majorHAnsi" w:hAnsiTheme="majorHAnsi" w:cs="Arial"/>
          <w:color w:val="000000"/>
          <w:sz w:val="22"/>
          <w:szCs w:val="22"/>
        </w:rPr>
        <w:t xml:space="preserve">and </w:t>
      </w:r>
      <w:r w:rsidR="00893170">
        <w:rPr>
          <w:rFonts w:asciiTheme="majorHAnsi" w:hAnsiTheme="majorHAnsi" w:cs="Arial"/>
          <w:color w:val="000000"/>
          <w:sz w:val="22"/>
          <w:szCs w:val="22"/>
        </w:rPr>
        <w:t>directly charged</w:t>
      </w:r>
      <w:r w:rsidRPr="00893170">
        <w:rPr>
          <w:rFonts w:asciiTheme="majorHAnsi" w:hAnsiTheme="majorHAnsi" w:cs="Arial"/>
          <w:color w:val="000000"/>
          <w:sz w:val="22"/>
          <w:szCs w:val="22"/>
        </w:rPr>
        <w:t xml:space="preserve"> based on time spent on each program or grant. </w:t>
      </w:r>
    </w:p>
    <w:p w14:paraId="0C6EF077" w14:textId="77777777" w:rsidR="0027264C" w:rsidRPr="00893170" w:rsidRDefault="0027264C" w:rsidP="001540EC">
      <w:pPr>
        <w:pStyle w:val="ListParagraph"/>
        <w:numPr>
          <w:ilvl w:val="0"/>
          <w:numId w:val="1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893170">
        <w:rPr>
          <w:rFonts w:asciiTheme="majorHAnsi" w:hAnsiTheme="majorHAnsi" w:cs="Arial"/>
          <w:color w:val="000000"/>
          <w:sz w:val="22"/>
          <w:szCs w:val="22"/>
        </w:rPr>
        <w:t xml:space="preserve">Salaries and wages are charged directly to the program for which work has been done. </w:t>
      </w:r>
    </w:p>
    <w:p w14:paraId="170BCA8B" w14:textId="77777777" w:rsidR="0027264C" w:rsidRPr="00D17E1C" w:rsidRDefault="0027264C" w:rsidP="001540EC">
      <w:pPr>
        <w:pStyle w:val="ListParagraph"/>
        <w:numPr>
          <w:ilvl w:val="0"/>
          <w:numId w:val="1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D17E1C">
        <w:rPr>
          <w:rFonts w:asciiTheme="majorHAnsi" w:hAnsiTheme="majorHAnsi" w:cs="Arial"/>
          <w:color w:val="000000"/>
          <w:sz w:val="22"/>
          <w:szCs w:val="22"/>
        </w:rPr>
        <w:t>Fringe benefits (FICA, UC, and Worker’s Compensation) are allocated in the same manner as salaries and wages. Health insurance, dental insurance, life &amp; disability and other fringe benefits are also allocated in the same manner as salaries and wages.</w:t>
      </w:r>
    </w:p>
    <w:p w14:paraId="3A65EAA6" w14:textId="77777777" w:rsidR="0027264C" w:rsidRPr="00D17E1C" w:rsidRDefault="0027264C" w:rsidP="001540EC">
      <w:pPr>
        <w:pStyle w:val="ListParagraph"/>
        <w:numPr>
          <w:ilvl w:val="0"/>
          <w:numId w:val="1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D17E1C">
        <w:rPr>
          <w:rFonts w:asciiTheme="majorHAnsi" w:hAnsiTheme="majorHAnsi" w:cs="Arial"/>
          <w:color w:val="000000"/>
          <w:sz w:val="22"/>
          <w:szCs w:val="22"/>
        </w:rPr>
        <w:t>Vacation, holiday, and sick pay are allocated in the same manner as salaries and wages.</w:t>
      </w:r>
    </w:p>
    <w:p w14:paraId="72E7A5F6" w14:textId="77777777" w:rsidR="0027264C" w:rsidRDefault="0027264C" w:rsidP="001540EC">
      <w:pPr>
        <w:pStyle w:val="ListParagraph"/>
        <w:numPr>
          <w:ilvl w:val="0"/>
          <w:numId w:val="1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D17E1C">
        <w:rPr>
          <w:rFonts w:asciiTheme="majorHAnsi" w:hAnsiTheme="majorHAnsi" w:cs="Arial"/>
          <w:color w:val="000000"/>
          <w:sz w:val="22"/>
          <w:szCs w:val="22"/>
        </w:rPr>
        <w:t>Travel Costs</w:t>
      </w:r>
      <w:r w:rsidRPr="00D17E1C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Pr="00D17E1C">
        <w:rPr>
          <w:rFonts w:asciiTheme="majorHAnsi" w:hAnsiTheme="majorHAnsi" w:cs="Arial"/>
          <w:color w:val="000000"/>
          <w:sz w:val="22"/>
          <w:szCs w:val="22"/>
        </w:rPr>
        <w:t>are allocated based on purpose of travel. All travel costs (local and out-of-town) are charged directly to the program for which the travel was incurred. Travel costs will be allocated in the same manner as salaries and wages.</w:t>
      </w:r>
    </w:p>
    <w:p w14:paraId="3BD6CF65" w14:textId="77777777" w:rsidR="00893170" w:rsidRDefault="00893170" w:rsidP="0089317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3ADF2770" w14:textId="77777777" w:rsidR="00893170" w:rsidRPr="00893170" w:rsidRDefault="00893170" w:rsidP="00893170">
      <w:pPr>
        <w:pStyle w:val="ListParagraph"/>
        <w:numPr>
          <w:ilvl w:val="0"/>
          <w:numId w:val="24"/>
        </w:numPr>
        <w:rPr>
          <w:rFonts w:asciiTheme="majorHAnsi" w:hAnsiTheme="majorHAnsi" w:cs="Arial"/>
          <w:b/>
          <w:color w:val="000000"/>
          <w:sz w:val="22"/>
          <w:szCs w:val="22"/>
        </w:rPr>
      </w:pPr>
      <w:r w:rsidRPr="00893170">
        <w:rPr>
          <w:rFonts w:asciiTheme="majorHAnsi" w:hAnsiTheme="majorHAnsi" w:cs="Arial"/>
          <w:b/>
          <w:color w:val="000000"/>
          <w:sz w:val="22"/>
          <w:szCs w:val="22"/>
        </w:rPr>
        <w:t>Direct Expenses</w:t>
      </w:r>
    </w:p>
    <w:p w14:paraId="1DF8D40C" w14:textId="77777777" w:rsidR="00893170" w:rsidRDefault="00893170" w:rsidP="00893170">
      <w:pPr>
        <w:pStyle w:val="ListParagrap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An expense that benefits only one </w:t>
      </w:r>
      <w:r w:rsidR="004B4B36">
        <w:rPr>
          <w:rFonts w:asciiTheme="majorHAnsi" w:hAnsiTheme="majorHAnsi" w:cs="Arial"/>
          <w:color w:val="000000"/>
          <w:sz w:val="22"/>
          <w:szCs w:val="22"/>
        </w:rPr>
        <w:t>funding source will be direct charged 100% to that funding source.</w:t>
      </w:r>
    </w:p>
    <w:p w14:paraId="6DEB9A76" w14:textId="77777777" w:rsidR="004B4B36" w:rsidRDefault="004B4B36" w:rsidP="00893170">
      <w:pPr>
        <w:pStyle w:val="ListParagraph"/>
        <w:rPr>
          <w:rFonts w:asciiTheme="majorHAnsi" w:hAnsiTheme="majorHAnsi" w:cs="Arial"/>
          <w:color w:val="000000"/>
          <w:sz w:val="22"/>
          <w:szCs w:val="22"/>
        </w:rPr>
      </w:pPr>
    </w:p>
    <w:p w14:paraId="0291935D" w14:textId="77777777" w:rsidR="004B4B36" w:rsidRPr="004B4B36" w:rsidRDefault="004B4B36" w:rsidP="004B4B36">
      <w:pPr>
        <w:pStyle w:val="ListParagraph"/>
        <w:numPr>
          <w:ilvl w:val="0"/>
          <w:numId w:val="24"/>
        </w:numPr>
        <w:rPr>
          <w:rFonts w:asciiTheme="majorHAnsi" w:hAnsiTheme="majorHAnsi" w:cs="Arial"/>
          <w:b/>
          <w:color w:val="000000"/>
          <w:sz w:val="22"/>
          <w:szCs w:val="22"/>
        </w:rPr>
      </w:pPr>
      <w:r w:rsidRPr="004B4B36">
        <w:rPr>
          <w:rFonts w:asciiTheme="majorHAnsi" w:hAnsiTheme="majorHAnsi" w:cs="Arial"/>
          <w:b/>
          <w:color w:val="000000"/>
          <w:sz w:val="22"/>
          <w:szCs w:val="22"/>
        </w:rPr>
        <w:t>Direct Shared Expenses</w:t>
      </w:r>
    </w:p>
    <w:p w14:paraId="25CEF8E1" w14:textId="77777777" w:rsidR="004B4B36" w:rsidRPr="00893170" w:rsidRDefault="004B4B36" w:rsidP="004B4B36">
      <w:pPr>
        <w:pStyle w:val="ListParagrap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lastRenderedPageBreak/>
        <w:t xml:space="preserve">Direct expenses that benefit more than one funding source will be allocated by an equitable base relative to the benefits received. </w:t>
      </w:r>
    </w:p>
    <w:p w14:paraId="102E9C05" w14:textId="77777777" w:rsidR="0027264C" w:rsidRPr="00D17E1C" w:rsidRDefault="0027264C" w:rsidP="0027264C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72432D9" w14:textId="77777777" w:rsidR="008E4100" w:rsidRDefault="008E4100" w:rsidP="002E1AEB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2E1AEB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 Allocation </w:t>
      </w:r>
      <w:r w:rsidR="00C1645E">
        <w:rPr>
          <w:rFonts w:asciiTheme="majorHAnsi" w:hAnsiTheme="majorHAnsi" w:cs="Arial"/>
          <w:b/>
          <w:bCs/>
          <w:color w:val="000000"/>
          <w:sz w:val="22"/>
          <w:szCs w:val="22"/>
        </w:rPr>
        <w:t>of Shared Direct Expenses</w:t>
      </w:r>
    </w:p>
    <w:p w14:paraId="72BF9029" w14:textId="77777777" w:rsidR="00D96E60" w:rsidRPr="002E1AEB" w:rsidRDefault="00D96E60" w:rsidP="00D96E60">
      <w:pPr>
        <w:pStyle w:val="ListParagraph"/>
        <w:ind w:left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3A0A7339" w14:textId="77777777" w:rsidR="00D96E60" w:rsidRPr="00D96E60" w:rsidRDefault="00D96E60" w:rsidP="00C1645E">
      <w:pPr>
        <w:pStyle w:val="ListParagraph"/>
        <w:numPr>
          <w:ilvl w:val="0"/>
          <w:numId w:val="25"/>
        </w:numPr>
        <w:rPr>
          <w:rFonts w:asciiTheme="majorHAnsi" w:hAnsiTheme="majorHAnsi" w:cs="Arial"/>
          <w:color w:val="000000"/>
          <w:sz w:val="22"/>
          <w:szCs w:val="22"/>
        </w:rPr>
      </w:pPr>
      <w:commentRangeStart w:id="7"/>
      <w:r>
        <w:rPr>
          <w:rFonts w:asciiTheme="majorHAnsi" w:hAnsiTheme="majorHAnsi" w:cs="Arial"/>
          <w:b/>
          <w:color w:val="000000"/>
          <w:sz w:val="22"/>
          <w:szCs w:val="22"/>
        </w:rPr>
        <w:t>Direct Labor Cost Pool</w:t>
      </w:r>
      <w:commentRangeEnd w:id="7"/>
      <w:r w:rsidR="009A032D">
        <w:rPr>
          <w:rStyle w:val="CommentReference"/>
        </w:rPr>
        <w:commentReference w:id="7"/>
      </w:r>
    </w:p>
    <w:p w14:paraId="3DF33523" w14:textId="77777777" w:rsidR="00C1645E" w:rsidRPr="00C1645E" w:rsidRDefault="00C1645E" w:rsidP="00D96E60">
      <w:pPr>
        <w:pStyle w:val="ListParagraph"/>
        <w:rPr>
          <w:rFonts w:asciiTheme="majorHAnsi" w:hAnsiTheme="majorHAnsi" w:cs="Arial"/>
          <w:color w:val="000000"/>
          <w:sz w:val="22"/>
          <w:szCs w:val="22"/>
        </w:rPr>
      </w:pPr>
      <w:r w:rsidRPr="009A032D">
        <w:rPr>
          <w:rFonts w:asciiTheme="majorHAnsi" w:hAnsiTheme="majorHAnsi" w:cs="Arial"/>
          <w:color w:val="000000"/>
          <w:sz w:val="22"/>
          <w:szCs w:val="22"/>
          <w:highlight w:val="yellow"/>
        </w:rPr>
        <w:t>Direct labor hours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will be used when the following cost categories benefit more than one funding source.</w:t>
      </w:r>
      <w:r w:rsidRPr="00C1645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The direct shared</w:t>
      </w:r>
      <w:r w:rsidRPr="00C1645E">
        <w:rPr>
          <w:rFonts w:asciiTheme="majorHAnsi" w:hAnsiTheme="majorHAnsi" w:cs="Arial"/>
          <w:color w:val="000000"/>
          <w:sz w:val="22"/>
          <w:szCs w:val="22"/>
        </w:rPr>
        <w:t xml:space="preserve"> c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osts will be allocated to benefiting funding sources </w:t>
      </w:r>
      <w:r w:rsidRPr="00C1645E">
        <w:rPr>
          <w:rFonts w:asciiTheme="majorHAnsi" w:hAnsiTheme="majorHAnsi" w:cs="Arial"/>
          <w:color w:val="000000"/>
          <w:sz w:val="22"/>
          <w:szCs w:val="22"/>
        </w:rPr>
        <w:t>based on the ratio of each program’s direct labor hours to the total of such direct labor hours (see Examples 1 and 2</w:t>
      </w:r>
      <w:r w:rsidR="008653D6">
        <w:rPr>
          <w:rFonts w:asciiTheme="majorHAnsi" w:hAnsiTheme="majorHAnsi" w:cs="Arial"/>
          <w:color w:val="000000"/>
          <w:sz w:val="22"/>
          <w:szCs w:val="22"/>
        </w:rPr>
        <w:t>). The direct labor hour allocation is updated each month</w:t>
      </w:r>
      <w:r w:rsidR="00B81976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commentRangeStart w:id="8"/>
      <w:r w:rsidR="00B81976" w:rsidRPr="00B81976">
        <w:rPr>
          <w:rFonts w:asciiTheme="majorHAnsi" w:hAnsiTheme="majorHAnsi" w:cs="Arial"/>
          <w:color w:val="000000"/>
          <w:sz w:val="22"/>
          <w:szCs w:val="22"/>
          <w:highlight w:val="yellow"/>
        </w:rPr>
        <w:t>(or quarter)</w:t>
      </w:r>
      <w:r w:rsidR="008653D6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commentRangeEnd w:id="8"/>
      <w:r w:rsidR="009A032D">
        <w:rPr>
          <w:rStyle w:val="CommentReference"/>
        </w:rPr>
        <w:commentReference w:id="8"/>
      </w:r>
      <w:r w:rsidR="008653D6">
        <w:rPr>
          <w:rFonts w:asciiTheme="majorHAnsi" w:hAnsiTheme="majorHAnsi" w:cs="Arial"/>
          <w:color w:val="000000"/>
          <w:sz w:val="22"/>
          <w:szCs w:val="22"/>
        </w:rPr>
        <w:t>and provided with supporting documentation with the corresponding monthly voucher.</w:t>
      </w:r>
    </w:p>
    <w:p w14:paraId="364A5AFA" w14:textId="77777777" w:rsidR="00C1645E" w:rsidRPr="00D17E1C" w:rsidRDefault="00C1645E" w:rsidP="00C1645E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1BC9D316" w14:textId="5BE6CD19" w:rsidR="00446746" w:rsidRPr="00446746" w:rsidRDefault="00446746" w:rsidP="00446746">
      <w:pPr>
        <w:pStyle w:val="ListParagraph"/>
        <w:rPr>
          <w:rFonts w:asciiTheme="majorHAnsi" w:hAnsiTheme="majorHAnsi" w:cs="Arial"/>
          <w:b/>
          <w:color w:val="000000"/>
          <w:sz w:val="22"/>
          <w:szCs w:val="22"/>
        </w:rPr>
      </w:pPr>
      <w:commentRangeStart w:id="9"/>
      <w:r w:rsidRPr="00446746">
        <w:rPr>
          <w:rFonts w:asciiTheme="majorHAnsi" w:hAnsiTheme="majorHAnsi" w:cs="Arial"/>
          <w:b/>
          <w:color w:val="000000"/>
          <w:sz w:val="22"/>
          <w:szCs w:val="22"/>
        </w:rPr>
        <w:t>Expenses Allocated by this base</w:t>
      </w:r>
      <w:commentRangeEnd w:id="9"/>
      <w:r w:rsidR="009A032D">
        <w:rPr>
          <w:rStyle w:val="CommentReference"/>
        </w:rPr>
        <w:commentReference w:id="9"/>
      </w:r>
      <w:r w:rsidR="009A032D">
        <w:rPr>
          <w:rFonts w:asciiTheme="majorHAnsi" w:hAnsiTheme="majorHAnsi" w:cs="Arial"/>
          <w:b/>
          <w:color w:val="000000"/>
          <w:sz w:val="22"/>
          <w:szCs w:val="22"/>
        </w:rPr>
        <w:t>:</w:t>
      </w:r>
    </w:p>
    <w:p w14:paraId="5D910BCD" w14:textId="7CFD4841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Professional Services Costs (such as consultants and accounting services)</w:t>
      </w:r>
    </w:p>
    <w:p w14:paraId="207E8F4A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Audit Costs (Direct labor hours of programs being audited)</w:t>
      </w:r>
    </w:p>
    <w:p w14:paraId="324BDF3A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Postage</w:t>
      </w:r>
    </w:p>
    <w:p w14:paraId="23BF89A4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Printing (including supplies, maintenance and repair) -</w:t>
      </w:r>
    </w:p>
    <w:p w14:paraId="06101CB1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Program Supplies</w:t>
      </w:r>
    </w:p>
    <w:p w14:paraId="33296A0C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Office/Copier</w:t>
      </w:r>
    </w:p>
    <w:p w14:paraId="56D62D98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Equipment/Depreciation</w:t>
      </w:r>
    </w:p>
    <w:p w14:paraId="719FF4E3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Telephone/Communications</w:t>
      </w:r>
    </w:p>
    <w:p w14:paraId="20828C0C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Training/Conferences/Seminars</w:t>
      </w:r>
    </w:p>
    <w:p w14:paraId="4B436B45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Other Costs (including membership dues, licenses, fees, etc.)</w:t>
      </w:r>
    </w:p>
    <w:p w14:paraId="747717C5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Facilities Expenses (includes Rent, Utilities, Maintenance, Mortgage Interest &amp; Depreciation, and Property Taxes)</w:t>
      </w:r>
    </w:p>
    <w:p w14:paraId="17D7DB60" w14:textId="77777777" w:rsidR="00C1645E" w:rsidRPr="00C1645E" w:rsidRDefault="00C1645E" w:rsidP="00D96E60">
      <w:pPr>
        <w:pStyle w:val="ListParagraph"/>
        <w:numPr>
          <w:ilvl w:val="0"/>
          <w:numId w:val="26"/>
        </w:numPr>
        <w:ind w:left="1080"/>
        <w:rPr>
          <w:rFonts w:asciiTheme="majorHAnsi" w:hAnsiTheme="majorHAnsi" w:cs="Arial"/>
          <w:color w:val="000000"/>
          <w:sz w:val="22"/>
          <w:szCs w:val="22"/>
        </w:rPr>
      </w:pPr>
      <w:r w:rsidRPr="00C1645E">
        <w:rPr>
          <w:rFonts w:asciiTheme="majorHAnsi" w:hAnsiTheme="majorHAnsi" w:cs="Arial"/>
          <w:color w:val="000000"/>
          <w:sz w:val="22"/>
          <w:szCs w:val="22"/>
        </w:rPr>
        <w:t>Insurance</w:t>
      </w:r>
    </w:p>
    <w:p w14:paraId="4F07C0A0" w14:textId="77777777" w:rsidR="008E4100" w:rsidRPr="00D17E1C" w:rsidRDefault="008E4100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7775904A" w14:textId="77777777" w:rsidR="0074129B" w:rsidRPr="00274383" w:rsidRDefault="0074129B" w:rsidP="00274383">
      <w:pPr>
        <w:autoSpaceDE w:val="0"/>
        <w:autoSpaceDN w:val="0"/>
        <w:adjustRightInd w:val="0"/>
        <w:ind w:left="720"/>
        <w:jc w:val="both"/>
        <w:outlineLvl w:val="5"/>
        <w:rPr>
          <w:rFonts w:asciiTheme="majorHAnsi" w:eastAsiaTheme="minorHAnsi" w:hAnsiTheme="majorHAnsi"/>
          <w:b/>
          <w:color w:val="000000"/>
          <w:sz w:val="22"/>
          <w:szCs w:val="22"/>
        </w:rPr>
      </w:pPr>
      <w:r w:rsidRPr="00D17E1C">
        <w:rPr>
          <w:rFonts w:asciiTheme="majorHAnsi" w:eastAsiaTheme="minorHAnsi" w:hAnsiTheme="majorHAnsi"/>
          <w:b/>
          <w:color w:val="000000"/>
          <w:sz w:val="22"/>
          <w:szCs w:val="22"/>
          <w:u w:val="single"/>
        </w:rPr>
        <w:t>Exa</w:t>
      </w:r>
      <w:r w:rsidR="008A2E9B">
        <w:rPr>
          <w:rFonts w:asciiTheme="majorHAnsi" w:eastAsiaTheme="minorHAnsi" w:hAnsiTheme="majorHAnsi"/>
          <w:b/>
          <w:color w:val="000000"/>
          <w:sz w:val="22"/>
          <w:szCs w:val="22"/>
          <w:u w:val="single"/>
        </w:rPr>
        <w:t xml:space="preserve">mple 1 Direct Labor </w:t>
      </w:r>
      <w:r w:rsidR="00491A4A">
        <w:rPr>
          <w:rFonts w:asciiTheme="majorHAnsi" w:eastAsiaTheme="minorHAnsi" w:hAnsiTheme="majorHAnsi"/>
          <w:b/>
          <w:color w:val="000000"/>
          <w:sz w:val="22"/>
          <w:szCs w:val="22"/>
          <w:u w:val="single"/>
        </w:rPr>
        <w:t>Hours</w:t>
      </w:r>
      <w:r w:rsidR="00491A4A" w:rsidRPr="00D17E1C">
        <w:rPr>
          <w:rFonts w:asciiTheme="majorHAnsi" w:eastAsiaTheme="minorHAnsi" w:hAnsiTheme="majorHAnsi"/>
          <w:b/>
          <w:color w:val="000000"/>
          <w:sz w:val="22"/>
          <w:szCs w:val="22"/>
          <w:u w:val="single"/>
        </w:rPr>
        <w:t xml:space="preserve"> </w:t>
      </w:r>
      <w:r w:rsidR="00491A4A">
        <w:rPr>
          <w:rFonts w:asciiTheme="majorHAnsi" w:eastAsiaTheme="minorHAnsi" w:hAnsiTheme="majorHAnsi"/>
          <w:b/>
          <w:color w:val="000000"/>
          <w:sz w:val="22"/>
          <w:szCs w:val="22"/>
        </w:rPr>
        <w:t>-</w:t>
      </w:r>
      <w:r w:rsidR="00274383">
        <w:rPr>
          <w:rFonts w:asciiTheme="majorHAnsi" w:eastAsiaTheme="minorHAnsi" w:hAnsiTheme="majorHAnsi"/>
          <w:b/>
          <w:color w:val="000000"/>
          <w:sz w:val="22"/>
          <w:szCs w:val="22"/>
        </w:rPr>
        <w:t xml:space="preserve"> </w:t>
      </w:r>
      <w:r w:rsidRPr="00D17E1C">
        <w:rPr>
          <w:rFonts w:asciiTheme="majorHAnsi" w:eastAsiaTheme="minorHAnsi" w:hAnsiTheme="majorHAnsi"/>
          <w:color w:val="000000"/>
          <w:sz w:val="22"/>
          <w:szCs w:val="22"/>
        </w:rPr>
        <w:t xml:space="preserve">Expense Amount = $10,000 </w:t>
      </w:r>
    </w:p>
    <w:p w14:paraId="742D62BD" w14:textId="77777777" w:rsidR="00BB1CD9" w:rsidRDefault="0074129B" w:rsidP="00274383">
      <w:pPr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D17E1C">
        <w:rPr>
          <w:rFonts w:asciiTheme="majorHAnsi" w:eastAsiaTheme="minorHAnsi" w:hAnsiTheme="majorHAnsi"/>
          <w:color w:val="000000"/>
          <w:sz w:val="22"/>
          <w:szCs w:val="22"/>
        </w:rPr>
        <w:t>Costs benefit</w:t>
      </w:r>
      <w:r w:rsidR="00FD2C4B">
        <w:rPr>
          <w:rFonts w:asciiTheme="majorHAnsi" w:eastAsiaTheme="minorHAnsi" w:hAnsiTheme="majorHAnsi"/>
          <w:color w:val="000000"/>
          <w:sz w:val="22"/>
          <w:szCs w:val="22"/>
        </w:rPr>
        <w:t>ing</w:t>
      </w:r>
      <w:r w:rsidRPr="00D17E1C">
        <w:rPr>
          <w:rFonts w:asciiTheme="majorHAnsi" w:eastAsiaTheme="minorHAnsi" w:hAnsiTheme="majorHAnsi"/>
          <w:color w:val="000000"/>
          <w:sz w:val="22"/>
          <w:szCs w:val="22"/>
        </w:rPr>
        <w:t xml:space="preserve"> </w:t>
      </w:r>
      <w:r w:rsidR="00FD2C4B" w:rsidRPr="00FD2C4B">
        <w:rPr>
          <w:rFonts w:asciiTheme="majorHAnsi" w:eastAsiaTheme="minorHAnsi" w:hAnsiTheme="majorHAnsi"/>
          <w:b/>
          <w:bCs/>
          <w:color w:val="000000"/>
          <w:sz w:val="22"/>
          <w:szCs w:val="22"/>
          <w:u w:val="single"/>
        </w:rPr>
        <w:t>all</w:t>
      </w:r>
      <w:r w:rsidR="00FD2C4B">
        <w:rPr>
          <w:rFonts w:asciiTheme="majorHAnsi" w:eastAsiaTheme="minorHAnsi" w:hAnsiTheme="majorHAnsi"/>
          <w:bCs/>
          <w:color w:val="000000"/>
          <w:sz w:val="22"/>
          <w:szCs w:val="22"/>
        </w:rPr>
        <w:t xml:space="preserve"> </w:t>
      </w:r>
      <w:r w:rsidRPr="00FD2C4B">
        <w:rPr>
          <w:rFonts w:asciiTheme="majorHAnsi" w:eastAsiaTheme="minorHAnsi" w:hAnsiTheme="majorHAnsi"/>
          <w:color w:val="000000"/>
          <w:sz w:val="22"/>
          <w:szCs w:val="22"/>
        </w:rPr>
        <w:t>programs</w:t>
      </w:r>
      <w:r w:rsidRPr="00D17E1C">
        <w:rPr>
          <w:rFonts w:asciiTheme="majorHAnsi" w:eastAsiaTheme="minorHAnsi" w:hAnsiTheme="majorHAnsi"/>
          <w:color w:val="000000"/>
          <w:sz w:val="22"/>
          <w:szCs w:val="22"/>
        </w:rPr>
        <w:t xml:space="preserve"> are allocated based on a ratio of each </w:t>
      </w:r>
      <w:r w:rsidR="00546591" w:rsidRPr="00D17E1C">
        <w:rPr>
          <w:rFonts w:asciiTheme="majorHAnsi" w:hAnsiTheme="majorHAnsi" w:cs="Arial"/>
          <w:color w:val="000000"/>
          <w:sz w:val="22"/>
          <w:szCs w:val="22"/>
        </w:rPr>
        <w:t>program’s direct labor hours to the total direct labor hours</w:t>
      </w:r>
      <w:r w:rsidR="008653D6">
        <w:rPr>
          <w:rFonts w:asciiTheme="majorHAnsi" w:hAnsiTheme="majorHAnsi" w:cs="Arial"/>
          <w:color w:val="000000"/>
          <w:sz w:val="22"/>
          <w:szCs w:val="22"/>
        </w:rPr>
        <w:t xml:space="preserve"> as</w:t>
      </w:r>
      <w:r w:rsidR="00BB1CD9">
        <w:rPr>
          <w:rFonts w:asciiTheme="majorHAnsi" w:hAnsiTheme="majorHAnsi" w:cs="Arial"/>
          <w:color w:val="000000"/>
          <w:sz w:val="22"/>
          <w:szCs w:val="22"/>
        </w:rPr>
        <w:t xml:space="preserve"> shown below</w:t>
      </w:r>
      <w:r w:rsidR="00BB1CD9" w:rsidRPr="00D17E1C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0C31D03E" w14:textId="77777777" w:rsidR="00BB1CD9" w:rsidRPr="00D17E1C" w:rsidRDefault="00BB1CD9" w:rsidP="00BB1CD9">
      <w:pPr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250"/>
        <w:gridCol w:w="2160"/>
        <w:gridCol w:w="810"/>
        <w:gridCol w:w="2070"/>
      </w:tblGrid>
      <w:tr w:rsidR="0074129B" w:rsidRPr="00D17E1C" w14:paraId="376741BB" w14:textId="77777777" w:rsidTr="00274383">
        <w:trPr>
          <w:trHeight w:val="3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9D6F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b/>
                <w:bCs/>
                <w:color w:val="000000"/>
                <w:sz w:val="22"/>
                <w:szCs w:val="22"/>
              </w:rPr>
              <w:t xml:space="preserve">Program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8D08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b/>
                <w:bCs/>
                <w:color w:val="000000"/>
                <w:sz w:val="22"/>
                <w:szCs w:val="22"/>
              </w:rPr>
              <w:t xml:space="preserve">Grant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405A" w14:textId="77777777" w:rsidR="0074129B" w:rsidRPr="00D17E1C" w:rsidRDefault="0074129B" w:rsidP="00CC7D2E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b/>
                <w:bCs/>
                <w:color w:val="000000"/>
                <w:sz w:val="22"/>
                <w:szCs w:val="22"/>
              </w:rPr>
              <w:t xml:space="preserve">Direct </w:t>
            </w:r>
            <w:r w:rsidR="00CC7D2E" w:rsidRPr="00D17E1C">
              <w:rPr>
                <w:rFonts w:asciiTheme="majorHAnsi" w:eastAsiaTheme="minorHAnsi" w:hAnsiTheme="majorHAnsi"/>
                <w:b/>
                <w:bCs/>
                <w:color w:val="000000"/>
                <w:sz w:val="22"/>
                <w:szCs w:val="22"/>
              </w:rPr>
              <w:t>Labor Hours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8B60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8AB5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b/>
                <w:bCs/>
                <w:color w:val="000000"/>
                <w:sz w:val="22"/>
                <w:szCs w:val="22"/>
              </w:rPr>
              <w:t xml:space="preserve">Amount Allocated </w:t>
            </w:r>
          </w:p>
        </w:tc>
      </w:tr>
      <w:tr w:rsidR="0074129B" w:rsidRPr="00D17E1C" w14:paraId="098A48B6" w14:textId="77777777" w:rsidTr="00274383">
        <w:trPr>
          <w:trHeight w:val="15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8611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991" w14:textId="77777777" w:rsidR="0074129B" w:rsidRPr="00D17E1C" w:rsidRDefault="00BB1CD9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AEL Program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FCC6" w14:textId="77777777" w:rsidR="0074129B" w:rsidRPr="00D17E1C" w:rsidRDefault="00CC7D2E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20</w:t>
            </w:r>
            <w:r w:rsidR="0074129B"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349D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13%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281A" w14:textId="77777777" w:rsidR="0074129B" w:rsidRPr="00D17E1C" w:rsidRDefault="0074129B" w:rsidP="008A2E9B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$1,300 </w:t>
            </w:r>
          </w:p>
        </w:tc>
      </w:tr>
      <w:tr w:rsidR="0074129B" w:rsidRPr="00D17E1C" w14:paraId="4BBC5120" w14:textId="77777777" w:rsidTr="00274383">
        <w:trPr>
          <w:trHeight w:val="15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2ABD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461D" w14:textId="77777777" w:rsidR="0074129B" w:rsidRPr="00D17E1C" w:rsidRDefault="00BB1CD9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ECE</w:t>
            </w:r>
            <w:r w:rsidR="0074129B"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9BE0" w14:textId="77777777" w:rsidR="0074129B" w:rsidRPr="00D17E1C" w:rsidRDefault="00CC7D2E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10</w:t>
            </w:r>
            <w:r w:rsidR="0074129B"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C4E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7%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86F6" w14:textId="77777777" w:rsidR="0074129B" w:rsidRPr="00D17E1C" w:rsidRDefault="0074129B" w:rsidP="008A2E9B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$ 700 </w:t>
            </w:r>
          </w:p>
        </w:tc>
      </w:tr>
      <w:tr w:rsidR="0074129B" w:rsidRPr="00D17E1C" w14:paraId="1A46B0E6" w14:textId="77777777" w:rsidTr="00274383">
        <w:trPr>
          <w:trHeight w:val="15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1697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49C9" w14:textId="77777777" w:rsidR="0074129B" w:rsidRPr="00D17E1C" w:rsidRDefault="00BB1CD9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AEL Admin</w:t>
            </w:r>
            <w:r w:rsidR="0074129B"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A74B" w14:textId="77777777" w:rsidR="0074129B" w:rsidRPr="00D17E1C" w:rsidRDefault="00CC7D2E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30</w:t>
            </w:r>
            <w:r w:rsidR="0074129B"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CB15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20%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8838" w14:textId="77777777" w:rsidR="0074129B" w:rsidRPr="00D17E1C" w:rsidRDefault="0074129B" w:rsidP="008A2E9B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$2,000 </w:t>
            </w:r>
          </w:p>
        </w:tc>
      </w:tr>
      <w:tr w:rsidR="0074129B" w:rsidRPr="00D17E1C" w14:paraId="2EC1C900" w14:textId="77777777" w:rsidTr="00274383">
        <w:trPr>
          <w:trHeight w:val="15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3841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E125" w14:textId="77777777" w:rsidR="0074129B" w:rsidRPr="00D17E1C" w:rsidRDefault="00BB1CD9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Other</w:t>
            </w:r>
            <w:r w:rsidR="0074129B"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F84" w14:textId="77777777" w:rsidR="0074129B" w:rsidRPr="00D17E1C" w:rsidRDefault="00CC7D2E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40</w:t>
            </w:r>
            <w:r w:rsidR="0074129B"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31D5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27%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B223" w14:textId="77777777" w:rsidR="0074129B" w:rsidRPr="00D17E1C" w:rsidRDefault="0074129B" w:rsidP="008A2E9B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$2,700 </w:t>
            </w:r>
          </w:p>
        </w:tc>
      </w:tr>
      <w:tr w:rsidR="0074129B" w:rsidRPr="00D17E1C" w14:paraId="3F90F565" w14:textId="77777777" w:rsidTr="00274383">
        <w:trPr>
          <w:trHeight w:val="15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C822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B6F7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E</w:t>
            </w:r>
            <w:r w:rsidR="00BB1CD9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arly Childhood</w:t>
            </w: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9D0" w14:textId="77777777" w:rsidR="0074129B" w:rsidRPr="00D17E1C" w:rsidRDefault="00CC7D2E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50</w:t>
            </w:r>
            <w:r w:rsidR="0074129B"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A05C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33%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D46C" w14:textId="77777777" w:rsidR="0074129B" w:rsidRPr="00D17E1C" w:rsidRDefault="0074129B" w:rsidP="008A2E9B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$3,300 </w:t>
            </w:r>
          </w:p>
        </w:tc>
      </w:tr>
      <w:tr w:rsidR="0074129B" w:rsidRPr="00D17E1C" w14:paraId="13EE6D3D" w14:textId="77777777" w:rsidTr="00274383">
        <w:trPr>
          <w:trHeight w:val="157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0C71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2257" w14:textId="77777777" w:rsidR="0074129B" w:rsidRPr="00D17E1C" w:rsidRDefault="00CC7D2E" w:rsidP="0074129B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>150</w:t>
            </w:r>
            <w:r w:rsidR="0074129B"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54E5" w14:textId="77777777" w:rsidR="0074129B" w:rsidRPr="00D17E1C" w:rsidRDefault="0074129B" w:rsidP="0074129B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100%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C79C" w14:textId="77777777" w:rsidR="0074129B" w:rsidRPr="00D17E1C" w:rsidRDefault="0074129B" w:rsidP="008A2E9B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 w:rsidRPr="00D17E1C"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  <w:t xml:space="preserve">$10,000 </w:t>
            </w:r>
          </w:p>
        </w:tc>
      </w:tr>
    </w:tbl>
    <w:p w14:paraId="3CE16E2A" w14:textId="77777777" w:rsidR="008A2E9B" w:rsidRDefault="008A2E9B" w:rsidP="008A2E9B">
      <w:pPr>
        <w:pStyle w:val="ListParagraph"/>
        <w:ind w:left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2F4C1328" w14:textId="77777777" w:rsidR="008A2E9B" w:rsidRPr="00274383" w:rsidRDefault="008A2E9B" w:rsidP="008A2E9B">
      <w:pPr>
        <w:ind w:left="720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  <w:u w:val="single"/>
        </w:rPr>
        <w:t>Example 2: Direct Labor Hours</w:t>
      </w:r>
      <w:r w:rsidRPr="00D17E1C">
        <w:rPr>
          <w:rFonts w:asciiTheme="majorHAnsi" w:hAnsiTheme="majorHAnsi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 - </w:t>
      </w:r>
      <w:r w:rsidRPr="00D17E1C">
        <w:rPr>
          <w:rFonts w:asciiTheme="majorHAnsi" w:hAnsiTheme="majorHAnsi" w:cs="Arial"/>
          <w:color w:val="000000"/>
          <w:sz w:val="22"/>
          <w:szCs w:val="22"/>
        </w:rPr>
        <w:t>Expense Amount = $5,000</w:t>
      </w:r>
    </w:p>
    <w:p w14:paraId="1487AD77" w14:textId="77777777" w:rsidR="008A2E9B" w:rsidRDefault="008A2E9B" w:rsidP="008A2E9B">
      <w:pPr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D17E1C">
        <w:rPr>
          <w:rFonts w:asciiTheme="majorHAnsi" w:hAnsiTheme="majorHAnsi" w:cs="Arial"/>
          <w:color w:val="000000"/>
          <w:sz w:val="22"/>
          <w:szCs w:val="22"/>
        </w:rPr>
        <w:t>Costs benefit</w:t>
      </w:r>
      <w:r>
        <w:rPr>
          <w:rFonts w:asciiTheme="majorHAnsi" w:hAnsiTheme="majorHAnsi" w:cs="Arial"/>
          <w:color w:val="000000"/>
          <w:sz w:val="22"/>
          <w:szCs w:val="22"/>
        </w:rPr>
        <w:t>ing</w:t>
      </w:r>
      <w:r w:rsidRPr="00D17E1C">
        <w:rPr>
          <w:rFonts w:asciiTheme="majorHAnsi" w:hAnsiTheme="majorHAnsi" w:cs="Arial"/>
          <w:color w:val="000000"/>
          <w:sz w:val="22"/>
          <w:szCs w:val="22"/>
        </w:rPr>
        <w:t xml:space="preserve"> two or more specific programs, but not all programs, are allocated to those programs based on the ratio of each program’s direct labor hours to the total </w:t>
      </w:r>
      <w:r>
        <w:rPr>
          <w:rFonts w:asciiTheme="majorHAnsi" w:hAnsiTheme="majorHAnsi" w:cs="Arial"/>
          <w:color w:val="000000"/>
          <w:sz w:val="22"/>
          <w:szCs w:val="22"/>
        </w:rPr>
        <w:t>of benefiting programs’</w:t>
      </w:r>
      <w:r w:rsidRPr="00D17E1C">
        <w:rPr>
          <w:rFonts w:asciiTheme="majorHAnsi" w:hAnsiTheme="majorHAnsi" w:cs="Arial"/>
          <w:color w:val="000000"/>
          <w:sz w:val="22"/>
          <w:szCs w:val="22"/>
        </w:rPr>
        <w:t xml:space="preserve"> direct labor hours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as shown below</w:t>
      </w:r>
      <w:r w:rsidRPr="00D17E1C">
        <w:rPr>
          <w:rFonts w:asciiTheme="majorHAnsi" w:hAnsiTheme="majorHAnsi" w:cs="Arial"/>
          <w:color w:val="000000"/>
          <w:sz w:val="22"/>
          <w:szCs w:val="22"/>
        </w:rPr>
        <w:t>:</w:t>
      </w:r>
    </w:p>
    <w:p w14:paraId="34167018" w14:textId="77777777" w:rsidR="008A2E9B" w:rsidRPr="00D17E1C" w:rsidRDefault="008A2E9B" w:rsidP="008A2E9B">
      <w:pPr>
        <w:rPr>
          <w:rFonts w:asciiTheme="majorHAnsi" w:hAnsiTheme="majorHAnsi" w:cs="Arial"/>
          <w:color w:val="000000"/>
          <w:sz w:val="22"/>
          <w:szCs w:val="22"/>
        </w:rPr>
      </w:pPr>
    </w:p>
    <w:tbl>
      <w:tblPr>
        <w:tblW w:w="8550" w:type="dxa"/>
        <w:tblInd w:w="8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00"/>
        <w:gridCol w:w="2700"/>
        <w:gridCol w:w="810"/>
        <w:gridCol w:w="2070"/>
      </w:tblGrid>
      <w:tr w:rsidR="008A2E9B" w:rsidRPr="00D17E1C" w14:paraId="3FFEC094" w14:textId="77777777" w:rsidTr="00754055">
        <w:trPr>
          <w:trHeight w:val="3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1598" w14:textId="77777777" w:rsidR="008A2E9B" w:rsidRPr="00D17E1C" w:rsidRDefault="008A2E9B" w:rsidP="0075405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4FFE" w14:textId="77777777" w:rsidR="008A2E9B" w:rsidRPr="00D17E1C" w:rsidRDefault="008A2E9B" w:rsidP="00754055">
            <w:pPr>
              <w:ind w:left="7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Grant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B311" w14:textId="77777777" w:rsidR="008A2E9B" w:rsidRPr="00D17E1C" w:rsidRDefault="008A2E9B" w:rsidP="00754055">
            <w:pPr>
              <w:ind w:left="7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Direct Labor Hours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6D51" w14:textId="77777777" w:rsidR="008A2E9B" w:rsidRPr="00D17E1C" w:rsidRDefault="008A2E9B" w:rsidP="0075405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839C" w14:textId="77777777" w:rsidR="008A2E9B" w:rsidRPr="00D17E1C" w:rsidRDefault="008A2E9B" w:rsidP="0075405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 xml:space="preserve">Amount Allocated </w:t>
            </w:r>
          </w:p>
        </w:tc>
      </w:tr>
      <w:tr w:rsidR="008A2E9B" w:rsidRPr="00D17E1C" w14:paraId="0AAD4B23" w14:textId="77777777" w:rsidTr="00754055">
        <w:trPr>
          <w:trHeight w:val="15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BD7E" w14:textId="77777777" w:rsidR="008A2E9B" w:rsidRPr="00D17E1C" w:rsidRDefault="008A2E9B" w:rsidP="00754055">
            <w:pPr>
              <w:ind w:left="7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4871" w14:textId="77777777" w:rsidR="008A2E9B" w:rsidRPr="00D17E1C" w:rsidRDefault="008A2E9B" w:rsidP="0075405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AEL Program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DD56" w14:textId="77777777" w:rsidR="008A2E9B" w:rsidRPr="00D17E1C" w:rsidRDefault="008A2E9B" w:rsidP="00754055">
            <w:pPr>
              <w:ind w:left="7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E41" w14:textId="77777777" w:rsidR="008A2E9B" w:rsidRPr="00D17E1C" w:rsidRDefault="008A2E9B" w:rsidP="0075405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0E6C" w14:textId="77777777" w:rsidR="008A2E9B" w:rsidRPr="00D17E1C" w:rsidRDefault="008A2E9B" w:rsidP="0075405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$1,000 </w:t>
            </w:r>
          </w:p>
        </w:tc>
      </w:tr>
      <w:tr w:rsidR="008A2E9B" w:rsidRPr="00D17E1C" w14:paraId="24E91EE8" w14:textId="77777777" w:rsidTr="00754055">
        <w:trPr>
          <w:trHeight w:val="15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219B" w14:textId="77777777" w:rsidR="008A2E9B" w:rsidRPr="00D17E1C" w:rsidRDefault="008A2E9B" w:rsidP="00754055">
            <w:pPr>
              <w:ind w:left="7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115F" w14:textId="77777777" w:rsidR="008A2E9B" w:rsidRPr="00D17E1C" w:rsidRDefault="008A2E9B" w:rsidP="0075405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AEL Admin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5017" w14:textId="77777777" w:rsidR="008A2E9B" w:rsidRPr="00D17E1C" w:rsidRDefault="008A2E9B" w:rsidP="00754055">
            <w:pPr>
              <w:ind w:left="7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30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4F61" w14:textId="77777777" w:rsidR="008A2E9B" w:rsidRPr="00D17E1C" w:rsidRDefault="008A2E9B" w:rsidP="0075405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31F4" w14:textId="77777777" w:rsidR="008A2E9B" w:rsidRPr="00D17E1C" w:rsidRDefault="008A2E9B" w:rsidP="0075405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$1,500 </w:t>
            </w:r>
          </w:p>
        </w:tc>
      </w:tr>
      <w:tr w:rsidR="008A2E9B" w:rsidRPr="00D17E1C" w14:paraId="69B76CB4" w14:textId="77777777" w:rsidTr="00754055">
        <w:trPr>
          <w:trHeight w:val="15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65C7" w14:textId="77777777" w:rsidR="008A2E9B" w:rsidRPr="00D17E1C" w:rsidRDefault="008A2E9B" w:rsidP="00754055">
            <w:pPr>
              <w:ind w:left="7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3F51" w14:textId="77777777" w:rsidR="008A2E9B" w:rsidRPr="00D17E1C" w:rsidRDefault="008A2E9B" w:rsidP="0075405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>E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arly Childhood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A680" w14:textId="77777777" w:rsidR="008A2E9B" w:rsidRPr="00D17E1C" w:rsidRDefault="008A2E9B" w:rsidP="00754055">
            <w:pPr>
              <w:ind w:left="7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2616" w14:textId="77777777" w:rsidR="008A2E9B" w:rsidRPr="00D17E1C" w:rsidRDefault="008A2E9B" w:rsidP="0075405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F810" w14:textId="77777777" w:rsidR="008A2E9B" w:rsidRPr="00D17E1C" w:rsidRDefault="008A2E9B" w:rsidP="0075405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$2,500 </w:t>
            </w:r>
          </w:p>
        </w:tc>
      </w:tr>
      <w:tr w:rsidR="008A2E9B" w:rsidRPr="00D17E1C" w14:paraId="53382F52" w14:textId="77777777" w:rsidTr="00754055">
        <w:trPr>
          <w:trHeight w:val="157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2F00" w14:textId="77777777" w:rsidR="008A2E9B" w:rsidRPr="00D17E1C" w:rsidRDefault="008A2E9B" w:rsidP="00754055">
            <w:pPr>
              <w:ind w:left="720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lastRenderedPageBreak/>
              <w:t xml:space="preserve">Total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E545" w14:textId="77777777" w:rsidR="008A2E9B" w:rsidRPr="00D17E1C" w:rsidRDefault="008A2E9B" w:rsidP="00754055">
            <w:pPr>
              <w:ind w:left="7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72D7" w14:textId="77777777" w:rsidR="008A2E9B" w:rsidRPr="00D17E1C" w:rsidRDefault="008A2E9B" w:rsidP="0075405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75B9" w14:textId="77777777" w:rsidR="008A2E9B" w:rsidRPr="00D17E1C" w:rsidRDefault="008A2E9B" w:rsidP="0075405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17E1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$5,000 </w:t>
            </w:r>
          </w:p>
        </w:tc>
      </w:tr>
      <w:tr w:rsidR="00B81976" w:rsidRPr="00D17E1C" w14:paraId="348E760F" w14:textId="77777777" w:rsidTr="00754055">
        <w:trPr>
          <w:trHeight w:val="157"/>
        </w:trPr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32F5" w14:textId="77777777" w:rsidR="00B81976" w:rsidRPr="00D17E1C" w:rsidRDefault="00B81976" w:rsidP="00B81976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680" w14:textId="77777777" w:rsidR="00B81976" w:rsidRPr="00D17E1C" w:rsidRDefault="00B81976" w:rsidP="00754055">
            <w:pPr>
              <w:ind w:left="7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09A5" w14:textId="77777777" w:rsidR="00B81976" w:rsidRPr="00D17E1C" w:rsidRDefault="00B81976" w:rsidP="0075405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ACF" w14:textId="77777777" w:rsidR="00B81976" w:rsidRPr="00D17E1C" w:rsidRDefault="00B81976" w:rsidP="0075405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14:paraId="5853F5A3" w14:textId="77777777" w:rsidR="00B81976" w:rsidRDefault="00B81976" w:rsidP="00B81976">
      <w:pPr>
        <w:pStyle w:val="ListParagraph"/>
        <w:ind w:left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28036667" w14:textId="77777777" w:rsidR="00B81976" w:rsidRDefault="00B81976" w:rsidP="00B81976">
      <w:pPr>
        <w:pStyle w:val="ListParagraph"/>
        <w:ind w:left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257C3E62" w14:textId="77777777" w:rsidR="00B81976" w:rsidRDefault="00B81976" w:rsidP="00B81976">
      <w:pPr>
        <w:pStyle w:val="ListParagraph"/>
        <w:ind w:left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2A71FB96" w14:textId="77777777" w:rsidR="00B81976" w:rsidRDefault="00B81976" w:rsidP="00B81976">
      <w:pPr>
        <w:pStyle w:val="ListParagraph"/>
        <w:ind w:left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71CD75FE" w14:textId="77777777" w:rsidR="00B81976" w:rsidRDefault="00B81976" w:rsidP="00B81976">
      <w:pPr>
        <w:pStyle w:val="ListParagraph"/>
        <w:ind w:left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72347C91" w14:textId="77777777" w:rsidR="008E4100" w:rsidRDefault="008E4100" w:rsidP="002E1AEB">
      <w:pPr>
        <w:pStyle w:val="ListParagraph"/>
        <w:numPr>
          <w:ilvl w:val="0"/>
          <w:numId w:val="1"/>
        </w:numPr>
        <w:ind w:left="360" w:hanging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2E1AEB">
        <w:rPr>
          <w:rFonts w:asciiTheme="majorHAnsi" w:hAnsiTheme="majorHAnsi" w:cs="Arial"/>
          <w:b/>
          <w:bCs/>
          <w:color w:val="000000"/>
          <w:sz w:val="22"/>
          <w:szCs w:val="22"/>
        </w:rPr>
        <w:t>Certification by authorized official</w:t>
      </w:r>
    </w:p>
    <w:p w14:paraId="629BCB13" w14:textId="77777777" w:rsidR="008A2E9B" w:rsidRPr="002E1AEB" w:rsidRDefault="008A2E9B" w:rsidP="008A2E9B">
      <w:pPr>
        <w:pStyle w:val="ListParagraph"/>
        <w:ind w:left="360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0DCA703F" w14:textId="77777777" w:rsidR="00A02114" w:rsidRDefault="00A02114" w:rsidP="00A02114">
      <w:pPr>
        <w:rPr>
          <w:rFonts w:asciiTheme="majorHAnsi" w:hAnsiTheme="majorHAnsi" w:cs="Arial"/>
          <w:b/>
          <w:color w:val="000000"/>
          <w:sz w:val="22"/>
          <w:szCs w:val="22"/>
        </w:rPr>
      </w:pPr>
    </w:p>
    <w:p w14:paraId="2A40DA49" w14:textId="77777777" w:rsidR="00A02114" w:rsidRPr="00493B66" w:rsidRDefault="00807E4D" w:rsidP="00A02114">
      <w:pPr>
        <w:rPr>
          <w:rFonts w:asciiTheme="majorHAnsi" w:hAnsiTheme="majorHAnsi" w:cs="Arial"/>
          <w:i/>
          <w:color w:val="000000"/>
          <w:sz w:val="22"/>
          <w:szCs w:val="22"/>
        </w:rPr>
      </w:pPr>
      <w:r w:rsidRPr="00493B66">
        <w:rPr>
          <w:rFonts w:asciiTheme="majorHAnsi" w:hAnsiTheme="majorHAnsi" w:cs="Arial"/>
          <w:i/>
          <w:color w:val="000000"/>
          <w:sz w:val="22"/>
          <w:szCs w:val="22"/>
        </w:rPr>
        <w:t xml:space="preserve">2 CFR 200.415 </w:t>
      </w:r>
      <w:r w:rsidR="00A02114" w:rsidRPr="00493B66">
        <w:rPr>
          <w:rFonts w:asciiTheme="majorHAnsi" w:hAnsiTheme="majorHAnsi" w:cs="Arial"/>
          <w:i/>
          <w:color w:val="000000"/>
          <w:sz w:val="22"/>
          <w:szCs w:val="22"/>
        </w:rPr>
        <w:t>Must be signed by an authorized official</w:t>
      </w:r>
      <w:r w:rsidRPr="00493B66">
        <w:rPr>
          <w:rFonts w:asciiTheme="majorHAnsi" w:hAnsiTheme="majorHAnsi" w:cs="Arial"/>
          <w:i/>
          <w:color w:val="000000"/>
          <w:sz w:val="22"/>
          <w:szCs w:val="22"/>
        </w:rPr>
        <w:t xml:space="preserve"> at a level no lower than Vice President or CFO of the non-federal entity. </w:t>
      </w:r>
    </w:p>
    <w:p w14:paraId="1502DB3E" w14:textId="77777777" w:rsidR="008E4100" w:rsidRDefault="008E4100" w:rsidP="008E4100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9A1A042" w14:textId="77777777" w:rsidR="00807E4D" w:rsidRDefault="00807E4D" w:rsidP="00807E4D">
      <w:pPr>
        <w:rPr>
          <w:rFonts w:asciiTheme="majorHAnsi" w:hAnsiTheme="majorHAnsi" w:cs="Arial"/>
          <w:color w:val="000000"/>
          <w:sz w:val="22"/>
          <w:szCs w:val="22"/>
        </w:rPr>
      </w:pPr>
      <w:r w:rsidRPr="00807E4D">
        <w:rPr>
          <w:rFonts w:asciiTheme="majorHAnsi" w:hAnsiTheme="majorHAnsi" w:cs="Arial"/>
          <w:color w:val="000000"/>
          <w:sz w:val="22"/>
          <w:szCs w:val="22"/>
        </w:rPr>
        <w:t>This is to c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ertify I have reviewed the </w:t>
      </w:r>
      <w:r w:rsidRPr="00807E4D">
        <w:rPr>
          <w:rFonts w:asciiTheme="majorHAnsi" w:hAnsiTheme="majorHAnsi" w:cs="Arial"/>
          <w:color w:val="000000"/>
          <w:sz w:val="22"/>
          <w:szCs w:val="22"/>
        </w:rPr>
        <w:t>cost allocat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ion plan submitted herewith and </w:t>
      </w:r>
      <w:r w:rsidRPr="00807E4D">
        <w:rPr>
          <w:rFonts w:asciiTheme="majorHAnsi" w:hAnsiTheme="majorHAnsi" w:cs="Arial"/>
          <w:color w:val="000000"/>
          <w:sz w:val="22"/>
          <w:szCs w:val="22"/>
        </w:rPr>
        <w:t>to the best of my knowledge and belief:</w:t>
      </w:r>
    </w:p>
    <w:p w14:paraId="388DC970" w14:textId="77777777" w:rsidR="00BA7A94" w:rsidRDefault="00BA7A94" w:rsidP="00807E4D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32758FC7" w14:textId="77777777" w:rsidR="00BA7A94" w:rsidRPr="00BA7A94" w:rsidRDefault="00BA7A94" w:rsidP="00BA7A94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The information contained in the above Cost Allocation Plan dated </w:t>
      </w:r>
      <w:r>
        <w:t>___________________ was prepared in accordance with 2 CFR 200 (Uniform Guidance),</w:t>
      </w:r>
    </w:p>
    <w:p w14:paraId="631980B6" w14:textId="77777777" w:rsidR="00BA7A94" w:rsidRPr="00807E4D" w:rsidRDefault="00BA7A94" w:rsidP="00807E4D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46BA187" w14:textId="77777777" w:rsidR="00807E4D" w:rsidRPr="00BA7A94" w:rsidRDefault="00807E4D" w:rsidP="00BA7A94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  <w:sz w:val="22"/>
          <w:szCs w:val="22"/>
        </w:rPr>
      </w:pPr>
      <w:r w:rsidRPr="00BA7A94">
        <w:rPr>
          <w:rFonts w:asciiTheme="majorHAnsi" w:hAnsiTheme="majorHAnsi" w:cs="Arial"/>
          <w:color w:val="000000"/>
          <w:sz w:val="22"/>
          <w:szCs w:val="22"/>
        </w:rPr>
        <w:t xml:space="preserve">All costs included in this proposal [identify date] to establish cost allocations or billings for [identify period covered by plan] are allowable in accordance with the requirements of </w:t>
      </w:r>
      <w:r w:rsidR="00C7705F" w:rsidRPr="00BA7A94">
        <w:rPr>
          <w:rFonts w:asciiTheme="majorHAnsi" w:hAnsiTheme="majorHAnsi" w:cs="Arial"/>
          <w:color w:val="000000"/>
          <w:sz w:val="22"/>
          <w:szCs w:val="22"/>
        </w:rPr>
        <w:t>2 CFR 200</w:t>
      </w:r>
      <w:r w:rsidRPr="00BA7A94">
        <w:rPr>
          <w:rFonts w:asciiTheme="majorHAnsi" w:hAnsiTheme="majorHAnsi" w:cs="Arial"/>
          <w:color w:val="000000"/>
          <w:sz w:val="22"/>
          <w:szCs w:val="22"/>
        </w:rPr>
        <w:t>. Unallowable costs have been adjusted for in allocating costs as indicated in the cost allocation plan</w:t>
      </w:r>
      <w:r w:rsidR="00C42B45">
        <w:rPr>
          <w:rFonts w:asciiTheme="majorHAnsi" w:hAnsiTheme="majorHAnsi" w:cs="Arial"/>
          <w:color w:val="000000"/>
          <w:sz w:val="22"/>
          <w:szCs w:val="22"/>
        </w:rPr>
        <w:t>,</w:t>
      </w:r>
    </w:p>
    <w:p w14:paraId="1020A8F7" w14:textId="77777777" w:rsidR="00C7705F" w:rsidRPr="00C7705F" w:rsidRDefault="00C7705F" w:rsidP="00C7705F"/>
    <w:p w14:paraId="4FFEB4F1" w14:textId="77777777" w:rsidR="00FA46E1" w:rsidRPr="00BA7A94" w:rsidRDefault="00807E4D" w:rsidP="00BA7A94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  <w:sz w:val="22"/>
          <w:szCs w:val="22"/>
        </w:rPr>
      </w:pPr>
      <w:r w:rsidRPr="00BA7A94">
        <w:rPr>
          <w:rFonts w:asciiTheme="majorHAnsi" w:hAnsiTheme="majorHAnsi" w:cs="Arial"/>
          <w:color w:val="000000"/>
          <w:sz w:val="22"/>
          <w:szCs w:val="22"/>
        </w:rPr>
        <w:t>All costs included in this proposal are properly allocable to Federal awards on the basis of a beneficial or causal relationship betwee</w:t>
      </w:r>
      <w:r w:rsidR="00C7705F" w:rsidRPr="00BA7A94">
        <w:rPr>
          <w:rFonts w:asciiTheme="majorHAnsi" w:hAnsiTheme="majorHAnsi" w:cs="Arial"/>
          <w:color w:val="000000"/>
          <w:sz w:val="22"/>
          <w:szCs w:val="22"/>
        </w:rPr>
        <w:t xml:space="preserve">n the expenses incurred and the </w:t>
      </w:r>
      <w:r w:rsidRPr="00BA7A94">
        <w:rPr>
          <w:rFonts w:asciiTheme="majorHAnsi" w:hAnsiTheme="majorHAnsi" w:cs="Arial"/>
          <w:color w:val="000000"/>
          <w:sz w:val="22"/>
          <w:szCs w:val="22"/>
        </w:rPr>
        <w:t>Federal awards to which they are allocated in accordanc</w:t>
      </w:r>
      <w:r w:rsidR="00C42B45">
        <w:rPr>
          <w:rFonts w:asciiTheme="majorHAnsi" w:hAnsiTheme="majorHAnsi" w:cs="Arial"/>
          <w:color w:val="000000"/>
          <w:sz w:val="22"/>
          <w:szCs w:val="22"/>
        </w:rPr>
        <w:t>e with applicable requirements,</w:t>
      </w:r>
      <w:r w:rsidR="00C7705F" w:rsidRPr="00BA7A94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797057A4" w14:textId="77777777" w:rsidR="00FA46E1" w:rsidRDefault="00FA46E1" w:rsidP="00807E4D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5DF2377" w14:textId="77777777" w:rsidR="00FA46E1" w:rsidRPr="00BA7A94" w:rsidRDefault="00FA46E1" w:rsidP="00BA7A94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  <w:sz w:val="22"/>
          <w:szCs w:val="22"/>
        </w:rPr>
      </w:pPr>
      <w:r w:rsidRPr="00BA7A94">
        <w:rPr>
          <w:rFonts w:asciiTheme="majorHAnsi" w:hAnsiTheme="majorHAnsi" w:cs="Arial"/>
          <w:color w:val="000000"/>
          <w:sz w:val="22"/>
          <w:szCs w:val="22"/>
        </w:rPr>
        <w:t xml:space="preserve">Bases used are </w:t>
      </w:r>
      <w:r w:rsidR="00BA7A94" w:rsidRPr="00BA7A94">
        <w:rPr>
          <w:rFonts w:asciiTheme="majorHAnsi" w:hAnsiTheme="majorHAnsi" w:cs="Arial"/>
          <w:color w:val="000000"/>
          <w:sz w:val="22"/>
          <w:szCs w:val="22"/>
        </w:rPr>
        <w:t>related to the types of costs being allocated, result in an equitable distribution of costs and are supported with adequate accounting and statistical data</w:t>
      </w:r>
      <w:r w:rsidR="00C42B45">
        <w:rPr>
          <w:rFonts w:asciiTheme="majorHAnsi" w:hAnsiTheme="majorHAnsi" w:cs="Arial"/>
          <w:color w:val="000000"/>
          <w:sz w:val="22"/>
          <w:szCs w:val="22"/>
        </w:rPr>
        <w:t>, and</w:t>
      </w:r>
    </w:p>
    <w:p w14:paraId="3C6073DB" w14:textId="77777777" w:rsidR="00BA7A94" w:rsidRDefault="00BA7A94" w:rsidP="00807E4D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5B497A6A" w14:textId="77777777" w:rsidR="00807E4D" w:rsidRPr="00BA7A94" w:rsidRDefault="00BA7A94" w:rsidP="00BA7A94">
      <w:pPr>
        <w:pStyle w:val="ListParagraph"/>
        <w:numPr>
          <w:ilvl w:val="0"/>
          <w:numId w:val="22"/>
        </w:numPr>
        <w:rPr>
          <w:rFonts w:asciiTheme="majorHAnsi" w:hAnsiTheme="majorHAnsi" w:cs="Arial"/>
          <w:color w:val="000000"/>
          <w:sz w:val="22"/>
          <w:szCs w:val="22"/>
        </w:rPr>
      </w:pPr>
      <w:r w:rsidRPr="00BA7A94">
        <w:rPr>
          <w:rFonts w:asciiTheme="majorHAnsi" w:hAnsiTheme="majorHAnsi" w:cs="Arial"/>
          <w:color w:val="000000"/>
          <w:sz w:val="22"/>
          <w:szCs w:val="22"/>
        </w:rPr>
        <w:t>T</w:t>
      </w:r>
      <w:r w:rsidR="00807E4D" w:rsidRPr="00BA7A94">
        <w:rPr>
          <w:rFonts w:asciiTheme="majorHAnsi" w:hAnsiTheme="majorHAnsi" w:cs="Arial"/>
          <w:color w:val="000000"/>
          <w:sz w:val="22"/>
          <w:szCs w:val="22"/>
        </w:rPr>
        <w:t>he same costs treated as indirect costs have not been claimed as direct costs. Similar types of costs have been accounted for consistently.</w:t>
      </w:r>
    </w:p>
    <w:p w14:paraId="2CEA16E4" w14:textId="77777777" w:rsidR="00807E4D" w:rsidRDefault="00807E4D" w:rsidP="00807E4D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B7CEF43" w14:textId="77777777" w:rsidR="00807E4D" w:rsidRPr="00807E4D" w:rsidRDefault="00807E4D" w:rsidP="00807E4D">
      <w:pPr>
        <w:rPr>
          <w:rFonts w:asciiTheme="majorHAnsi" w:hAnsiTheme="majorHAnsi" w:cs="Arial"/>
          <w:color w:val="000000"/>
          <w:sz w:val="22"/>
          <w:szCs w:val="22"/>
        </w:rPr>
      </w:pPr>
      <w:r w:rsidRPr="00807E4D">
        <w:rPr>
          <w:rFonts w:asciiTheme="majorHAnsi" w:hAnsiTheme="majorHAnsi" w:cs="Arial"/>
          <w:color w:val="000000"/>
          <w:sz w:val="22"/>
          <w:szCs w:val="22"/>
        </w:rPr>
        <w:t>I declare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the foregoing </w:t>
      </w:r>
      <w:r w:rsidR="00C42B45">
        <w:rPr>
          <w:rFonts w:asciiTheme="majorHAnsi" w:hAnsiTheme="majorHAnsi" w:cs="Arial"/>
          <w:color w:val="000000"/>
          <w:sz w:val="22"/>
          <w:szCs w:val="22"/>
        </w:rPr>
        <w:t>statements are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true and </w:t>
      </w:r>
      <w:r w:rsidRPr="00807E4D">
        <w:rPr>
          <w:rFonts w:asciiTheme="majorHAnsi" w:hAnsiTheme="majorHAnsi" w:cs="Arial"/>
          <w:color w:val="000000"/>
          <w:sz w:val="22"/>
          <w:szCs w:val="22"/>
        </w:rPr>
        <w:t>correct.</w:t>
      </w:r>
    </w:p>
    <w:p w14:paraId="72F3AD49" w14:textId="77777777" w:rsidR="00807E4D" w:rsidRDefault="00807E4D" w:rsidP="00807E4D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94BC275" w14:textId="77777777" w:rsidR="00C42B45" w:rsidRPr="00C42B45" w:rsidRDefault="00C42B45" w:rsidP="00C42B45">
      <w:pPr>
        <w:rPr>
          <w:rFonts w:asciiTheme="majorHAnsi" w:hAnsiTheme="majorHAnsi" w:cs="Arial"/>
          <w:color w:val="000000"/>
          <w:sz w:val="22"/>
          <w:szCs w:val="22"/>
        </w:rPr>
      </w:pPr>
      <w:r w:rsidRPr="00C42B45">
        <w:rPr>
          <w:rFonts w:asciiTheme="majorHAnsi" w:hAnsiTheme="majorHAnsi" w:cs="Arial"/>
          <w:color w:val="000000"/>
          <w:sz w:val="22"/>
          <w:szCs w:val="22"/>
        </w:rPr>
        <w:t>Organization:</w:t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  <w:t>_</w:t>
      </w:r>
      <w:r w:rsidR="001B03F1">
        <w:rPr>
          <w:rFonts w:asciiTheme="majorHAnsi" w:hAnsiTheme="majorHAnsi" w:cs="Arial"/>
          <w:color w:val="000000"/>
          <w:sz w:val="22"/>
          <w:szCs w:val="22"/>
          <w:u w:val="single"/>
        </w:rPr>
        <w:t xml:space="preserve"> </w:t>
      </w:r>
      <w:r w:rsidR="00B81976" w:rsidRPr="00B81976">
        <w:rPr>
          <w:rFonts w:asciiTheme="majorHAnsi" w:hAnsiTheme="majorHAnsi"/>
          <w:sz w:val="22"/>
          <w:szCs w:val="22"/>
          <w:highlight w:val="yellow"/>
        </w:rPr>
        <w:t>[Entity]</w:t>
      </w:r>
      <w:r w:rsidRPr="00C42B45">
        <w:rPr>
          <w:rFonts w:asciiTheme="majorHAnsi" w:hAnsiTheme="majorHAnsi" w:cs="Arial"/>
          <w:color w:val="000000"/>
          <w:sz w:val="22"/>
          <w:szCs w:val="22"/>
        </w:rPr>
        <w:t>_____________</w:t>
      </w:r>
    </w:p>
    <w:p w14:paraId="3A6FBC93" w14:textId="77777777" w:rsidR="00C42B45" w:rsidRPr="00C42B45" w:rsidRDefault="00C42B45" w:rsidP="00C42B4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6BA22479" w14:textId="77777777" w:rsidR="00C42B45" w:rsidRPr="00C42B45" w:rsidRDefault="00C42B45" w:rsidP="00C42B45">
      <w:pPr>
        <w:rPr>
          <w:rFonts w:asciiTheme="majorHAnsi" w:hAnsiTheme="majorHAnsi" w:cs="Arial"/>
          <w:color w:val="000000"/>
          <w:sz w:val="22"/>
          <w:szCs w:val="22"/>
        </w:rPr>
      </w:pPr>
      <w:r w:rsidRPr="00C42B45">
        <w:rPr>
          <w:rFonts w:asciiTheme="majorHAnsi" w:hAnsiTheme="majorHAnsi" w:cs="Arial"/>
          <w:color w:val="000000"/>
          <w:sz w:val="22"/>
          <w:szCs w:val="22"/>
        </w:rPr>
        <w:t>Signature:</w:t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  <w:t>_______________________________</w:t>
      </w:r>
    </w:p>
    <w:p w14:paraId="465E2454" w14:textId="77777777" w:rsidR="00C42B45" w:rsidRPr="00C42B45" w:rsidRDefault="00C42B45" w:rsidP="00C42B4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4A4736C" w14:textId="77777777" w:rsidR="00C42B45" w:rsidRPr="00C42B45" w:rsidRDefault="00C42B45" w:rsidP="00C42B45">
      <w:pPr>
        <w:rPr>
          <w:rFonts w:asciiTheme="majorHAnsi" w:hAnsiTheme="majorHAnsi" w:cs="Arial"/>
          <w:color w:val="000000"/>
          <w:sz w:val="22"/>
          <w:szCs w:val="22"/>
        </w:rPr>
      </w:pPr>
      <w:r w:rsidRPr="00C42B45">
        <w:rPr>
          <w:rFonts w:asciiTheme="majorHAnsi" w:hAnsiTheme="majorHAnsi" w:cs="Arial"/>
          <w:color w:val="000000"/>
          <w:sz w:val="22"/>
          <w:szCs w:val="22"/>
        </w:rPr>
        <w:t>Name of Official (printed):</w:t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  <w:t>_______________________________</w:t>
      </w:r>
    </w:p>
    <w:p w14:paraId="53ECC5F5" w14:textId="77777777" w:rsidR="00C42B45" w:rsidRPr="00C42B45" w:rsidRDefault="00C42B45" w:rsidP="00C42B4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3D732C09" w14:textId="77777777" w:rsidR="00C42B45" w:rsidRPr="00C42B45" w:rsidRDefault="00C42B45" w:rsidP="00C42B45">
      <w:pPr>
        <w:rPr>
          <w:rFonts w:asciiTheme="majorHAnsi" w:hAnsiTheme="majorHAnsi" w:cs="Arial"/>
          <w:color w:val="000000"/>
          <w:sz w:val="22"/>
          <w:szCs w:val="22"/>
        </w:rPr>
      </w:pPr>
      <w:r w:rsidRPr="00C42B45">
        <w:rPr>
          <w:rFonts w:asciiTheme="majorHAnsi" w:hAnsiTheme="majorHAnsi" w:cs="Arial"/>
          <w:color w:val="000000"/>
          <w:sz w:val="22"/>
          <w:szCs w:val="22"/>
        </w:rPr>
        <w:t>Title:</w:t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  <w:t>_______________________________</w:t>
      </w:r>
    </w:p>
    <w:p w14:paraId="066D1B8E" w14:textId="77777777" w:rsidR="00C42B45" w:rsidRPr="00C42B45" w:rsidRDefault="00C42B45" w:rsidP="00C42B4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22C6D89A" w14:textId="77777777" w:rsidR="00C42B45" w:rsidRPr="00C42B45" w:rsidRDefault="00C42B45" w:rsidP="00C42B45">
      <w:pPr>
        <w:rPr>
          <w:rFonts w:asciiTheme="majorHAnsi" w:hAnsiTheme="majorHAnsi" w:cs="Arial"/>
          <w:color w:val="000000"/>
          <w:sz w:val="22"/>
          <w:szCs w:val="22"/>
        </w:rPr>
      </w:pPr>
      <w:r w:rsidRPr="00C42B45">
        <w:rPr>
          <w:rFonts w:asciiTheme="majorHAnsi" w:hAnsiTheme="majorHAnsi" w:cs="Arial"/>
          <w:color w:val="000000"/>
          <w:sz w:val="22"/>
          <w:szCs w:val="22"/>
        </w:rPr>
        <w:t>Date of Execution:</w:t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</w:r>
      <w:r w:rsidRPr="00C42B45">
        <w:rPr>
          <w:rFonts w:asciiTheme="majorHAnsi" w:hAnsiTheme="majorHAnsi" w:cs="Arial"/>
          <w:color w:val="000000"/>
          <w:sz w:val="22"/>
          <w:szCs w:val="22"/>
        </w:rPr>
        <w:tab/>
        <w:t>_______________________________</w:t>
      </w:r>
    </w:p>
    <w:p w14:paraId="41704065" w14:textId="77777777" w:rsidR="00C42B45" w:rsidRPr="00C42B45" w:rsidRDefault="00C42B45" w:rsidP="00C42B45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0A63423B" w14:textId="77777777" w:rsidR="00762A75" w:rsidRPr="00C42B45" w:rsidRDefault="00C42B45" w:rsidP="00C42B45">
      <w:pPr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C42B45">
        <w:rPr>
          <w:rFonts w:asciiTheme="majorHAnsi" w:hAnsiTheme="majorHAnsi" w:cs="Arial"/>
          <w:color w:val="000000"/>
          <w:sz w:val="22"/>
          <w:szCs w:val="22"/>
        </w:rPr>
        <w:t>(Signed by the official having the authority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C42B45">
        <w:rPr>
          <w:rFonts w:asciiTheme="majorHAnsi" w:hAnsiTheme="majorHAnsi" w:cs="Arial"/>
          <w:color w:val="000000"/>
          <w:sz w:val="22"/>
          <w:szCs w:val="22"/>
        </w:rPr>
        <w:t>to negotiat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e cost allocation plans for the </w:t>
      </w:r>
      <w:r w:rsidRPr="00C42B45">
        <w:rPr>
          <w:rFonts w:asciiTheme="majorHAnsi" w:hAnsiTheme="majorHAnsi" w:cs="Arial"/>
          <w:color w:val="000000"/>
          <w:sz w:val="22"/>
          <w:szCs w:val="22"/>
        </w:rPr>
        <w:t>organization, or by a higher level official.)</w:t>
      </w:r>
    </w:p>
    <w:sectPr w:rsidR="00762A75" w:rsidRPr="00C42B45" w:rsidSect="00D9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01E50EDD" w14:textId="77777777" w:rsidR="00D35CC8" w:rsidRDefault="00D35CC8">
      <w:pPr>
        <w:pStyle w:val="CommentText"/>
      </w:pPr>
      <w:r>
        <w:rPr>
          <w:rStyle w:val="CommentReference"/>
        </w:rPr>
        <w:annotationRef/>
      </w:r>
      <w:r>
        <w:t xml:space="preserve">Examples include facility expenses (rent, utilities, internet/phone) and supplies. </w:t>
      </w:r>
    </w:p>
  </w:comment>
  <w:comment w:id="2" w:author="Author" w:initials="A">
    <w:p w14:paraId="052D7071" w14:textId="7FC7FB7C" w:rsidR="00EB480B" w:rsidRDefault="00EB480B">
      <w:pPr>
        <w:pStyle w:val="CommentText"/>
      </w:pPr>
      <w:r>
        <w:rPr>
          <w:rStyle w:val="CommentReference"/>
        </w:rPr>
        <w:annotationRef/>
      </w:r>
      <w:r>
        <w:t>Add your org chart.</w:t>
      </w:r>
    </w:p>
  </w:comment>
  <w:comment w:id="3" w:author="Author" w:initials="A">
    <w:p w14:paraId="626A118E" w14:textId="464DD218" w:rsidR="009A032D" w:rsidRDefault="009A032D">
      <w:pPr>
        <w:pStyle w:val="CommentText"/>
      </w:pPr>
      <w:r>
        <w:rPr>
          <w:rStyle w:val="CommentReference"/>
        </w:rPr>
        <w:annotationRef/>
      </w:r>
      <w:r>
        <w:t>No change needed for this section.</w:t>
      </w:r>
    </w:p>
  </w:comment>
  <w:comment w:id="4" w:author="Author" w:initials="A">
    <w:p w14:paraId="3607CA18" w14:textId="57C08B0D" w:rsidR="00EB480B" w:rsidRDefault="00EB480B">
      <w:pPr>
        <w:pStyle w:val="CommentText"/>
      </w:pPr>
      <w:r>
        <w:rPr>
          <w:rStyle w:val="CommentReference"/>
        </w:rPr>
        <w:annotationRef/>
      </w:r>
      <w:r>
        <w:t>Insert your business name.</w:t>
      </w:r>
    </w:p>
  </w:comment>
  <w:comment w:id="5" w:author="Author" w:initials="A">
    <w:p w14:paraId="0A33983C" w14:textId="66F2AC85" w:rsidR="009A032D" w:rsidRDefault="009A032D">
      <w:pPr>
        <w:pStyle w:val="CommentText"/>
      </w:pPr>
      <w:r>
        <w:rPr>
          <w:rStyle w:val="CommentReference"/>
        </w:rPr>
        <w:annotationRef/>
      </w:r>
      <w:r>
        <w:t>Select the base you plan to use (you may have more than one, but it is recommended to limit the number of basis – keep it simple)</w:t>
      </w:r>
    </w:p>
  </w:comment>
  <w:comment w:id="6" w:author="Author" w:initials="A">
    <w:p w14:paraId="1E0048BC" w14:textId="01101E61" w:rsidR="009A032D" w:rsidRDefault="009A032D">
      <w:pPr>
        <w:pStyle w:val="CommentText"/>
      </w:pPr>
      <w:r>
        <w:rPr>
          <w:rStyle w:val="CommentReference"/>
        </w:rPr>
        <w:annotationRef/>
      </w:r>
      <w:r>
        <w:t>No change needed for this section.</w:t>
      </w:r>
    </w:p>
  </w:comment>
  <w:comment w:id="7" w:author="Author" w:initials="A">
    <w:p w14:paraId="4057131F" w14:textId="75456CBA" w:rsidR="009A032D" w:rsidRDefault="009A032D">
      <w:pPr>
        <w:pStyle w:val="CommentText"/>
      </w:pPr>
      <w:r>
        <w:rPr>
          <w:rStyle w:val="CommentReference"/>
        </w:rPr>
        <w:annotationRef/>
      </w:r>
      <w:r>
        <w:t>Put the base you are going to use. Reference to section V.</w:t>
      </w:r>
    </w:p>
  </w:comment>
  <w:comment w:id="8" w:author="Author" w:initials="A">
    <w:p w14:paraId="3281BD15" w14:textId="6AC38178" w:rsidR="009A032D" w:rsidRDefault="009A032D">
      <w:pPr>
        <w:pStyle w:val="CommentText"/>
      </w:pPr>
      <w:r>
        <w:rPr>
          <w:rStyle w:val="CommentReference"/>
        </w:rPr>
        <w:annotationRef/>
      </w:r>
      <w:r>
        <w:t>Determine the frequency you are going to update the data (i.e., monthly, quarterly)</w:t>
      </w:r>
    </w:p>
  </w:comment>
  <w:comment w:id="9" w:author="Author" w:initials="A">
    <w:p w14:paraId="03691BC7" w14:textId="1E2F0DBC" w:rsidR="009A032D" w:rsidRDefault="009A032D">
      <w:pPr>
        <w:pStyle w:val="CommentText"/>
      </w:pPr>
      <w:r>
        <w:rPr>
          <w:rStyle w:val="CommentReference"/>
        </w:rPr>
        <w:annotationRef/>
      </w:r>
      <w:r>
        <w:t>List all expenses you plan to use the base for.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E50EDD" w15:done="0"/>
  <w15:commentEx w15:paraId="052D7071" w15:done="0"/>
  <w15:commentEx w15:paraId="626A118E" w15:done="0"/>
  <w15:commentEx w15:paraId="3607CA18" w15:done="0"/>
  <w15:commentEx w15:paraId="0A33983C" w15:done="0"/>
  <w15:commentEx w15:paraId="1E0048BC" w15:done="0"/>
  <w15:commentEx w15:paraId="4057131F" w15:done="0"/>
  <w15:commentEx w15:paraId="3281BD15" w15:done="0"/>
  <w15:commentEx w15:paraId="03691B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50EDD" w16cid:durableId="1EF6DC78"/>
  <w16cid:commentId w16cid:paraId="052D7071" w16cid:durableId="1F57295D"/>
  <w16cid:commentId w16cid:paraId="626A118E" w16cid:durableId="1F572A30"/>
  <w16cid:commentId w16cid:paraId="3607CA18" w16cid:durableId="1F572981"/>
  <w16cid:commentId w16cid:paraId="0A33983C" w16cid:durableId="1F5729C3"/>
  <w16cid:commentId w16cid:paraId="1E0048BC" w16cid:durableId="1F572A1D"/>
  <w16cid:commentId w16cid:paraId="4057131F" w16cid:durableId="1F572A99"/>
  <w16cid:commentId w16cid:paraId="3281BD15" w16cid:durableId="1F572A59"/>
  <w16cid:commentId w16cid:paraId="03691BC7" w16cid:durableId="1F572B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A3FE" w14:textId="77777777" w:rsidR="00183466" w:rsidRDefault="00183466" w:rsidP="00E65BE7">
      <w:r>
        <w:separator/>
      </w:r>
    </w:p>
  </w:endnote>
  <w:endnote w:type="continuationSeparator" w:id="0">
    <w:p w14:paraId="15A6C9DF" w14:textId="77777777" w:rsidR="00183466" w:rsidRDefault="00183466" w:rsidP="00E6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A5A4" w14:textId="77777777" w:rsidR="00183466" w:rsidRDefault="00183466" w:rsidP="00E65BE7">
      <w:r>
        <w:separator/>
      </w:r>
    </w:p>
  </w:footnote>
  <w:footnote w:type="continuationSeparator" w:id="0">
    <w:p w14:paraId="02847F34" w14:textId="77777777" w:rsidR="00183466" w:rsidRDefault="00183466" w:rsidP="00E6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639"/>
    <w:multiLevelType w:val="hybridMultilevel"/>
    <w:tmpl w:val="9E86F100"/>
    <w:lvl w:ilvl="0" w:tplc="632AB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21D"/>
    <w:multiLevelType w:val="hybridMultilevel"/>
    <w:tmpl w:val="8E2A8282"/>
    <w:lvl w:ilvl="0" w:tplc="356AA3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400"/>
    <w:multiLevelType w:val="hybridMultilevel"/>
    <w:tmpl w:val="0E48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0ECD"/>
    <w:multiLevelType w:val="hybridMultilevel"/>
    <w:tmpl w:val="B3D21684"/>
    <w:lvl w:ilvl="0" w:tplc="356AA3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924E5"/>
    <w:multiLevelType w:val="hybridMultilevel"/>
    <w:tmpl w:val="9E86F100"/>
    <w:lvl w:ilvl="0" w:tplc="632AB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67FF"/>
    <w:multiLevelType w:val="hybridMultilevel"/>
    <w:tmpl w:val="93AE1B6A"/>
    <w:lvl w:ilvl="0" w:tplc="0386AC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87854"/>
    <w:multiLevelType w:val="hybridMultilevel"/>
    <w:tmpl w:val="14148D2A"/>
    <w:lvl w:ilvl="0" w:tplc="F752A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165E"/>
    <w:multiLevelType w:val="hybridMultilevel"/>
    <w:tmpl w:val="9E86F100"/>
    <w:lvl w:ilvl="0" w:tplc="632AB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63E9A"/>
    <w:multiLevelType w:val="hybridMultilevel"/>
    <w:tmpl w:val="9E86F100"/>
    <w:lvl w:ilvl="0" w:tplc="632AB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0607"/>
    <w:multiLevelType w:val="hybridMultilevel"/>
    <w:tmpl w:val="4C82AE02"/>
    <w:lvl w:ilvl="0" w:tplc="B844A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1672"/>
    <w:multiLevelType w:val="hybridMultilevel"/>
    <w:tmpl w:val="9E86F100"/>
    <w:lvl w:ilvl="0" w:tplc="632AB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D47A3"/>
    <w:multiLevelType w:val="hybridMultilevel"/>
    <w:tmpl w:val="1DBE6B12"/>
    <w:lvl w:ilvl="0" w:tplc="356AA3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D7E75"/>
    <w:multiLevelType w:val="hybridMultilevel"/>
    <w:tmpl w:val="1A6E348A"/>
    <w:lvl w:ilvl="0" w:tplc="8D5CA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0271"/>
    <w:multiLevelType w:val="hybridMultilevel"/>
    <w:tmpl w:val="A6408C9C"/>
    <w:lvl w:ilvl="0" w:tplc="356AA3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1DE"/>
    <w:multiLevelType w:val="hybridMultilevel"/>
    <w:tmpl w:val="AD58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77D83"/>
    <w:multiLevelType w:val="hybridMultilevel"/>
    <w:tmpl w:val="C464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4AC0"/>
    <w:multiLevelType w:val="hybridMultilevel"/>
    <w:tmpl w:val="D096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2327"/>
    <w:multiLevelType w:val="hybridMultilevel"/>
    <w:tmpl w:val="5AB663E6"/>
    <w:lvl w:ilvl="0" w:tplc="FEB623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0506"/>
    <w:multiLevelType w:val="hybridMultilevel"/>
    <w:tmpl w:val="8A4AC330"/>
    <w:lvl w:ilvl="0" w:tplc="14A8F39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7C69"/>
    <w:multiLevelType w:val="hybridMultilevel"/>
    <w:tmpl w:val="4204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F2449"/>
    <w:multiLevelType w:val="hybridMultilevel"/>
    <w:tmpl w:val="75B8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4633F"/>
    <w:multiLevelType w:val="hybridMultilevel"/>
    <w:tmpl w:val="76BA524A"/>
    <w:lvl w:ilvl="0" w:tplc="356AA3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C5A70"/>
    <w:multiLevelType w:val="hybridMultilevel"/>
    <w:tmpl w:val="81AC105A"/>
    <w:lvl w:ilvl="0" w:tplc="356AA3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61987"/>
    <w:multiLevelType w:val="hybridMultilevel"/>
    <w:tmpl w:val="8626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5068"/>
    <w:multiLevelType w:val="hybridMultilevel"/>
    <w:tmpl w:val="B66CC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57D8F"/>
    <w:multiLevelType w:val="hybridMultilevel"/>
    <w:tmpl w:val="3F9EF896"/>
    <w:lvl w:ilvl="0" w:tplc="4FDC17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25"/>
  </w:num>
  <w:num w:numId="5">
    <w:abstractNumId w:val="14"/>
  </w:num>
  <w:num w:numId="6">
    <w:abstractNumId w:val="23"/>
  </w:num>
  <w:num w:numId="7">
    <w:abstractNumId w:val="2"/>
  </w:num>
  <w:num w:numId="8">
    <w:abstractNumId w:val="3"/>
  </w:num>
  <w:num w:numId="9">
    <w:abstractNumId w:val="21"/>
  </w:num>
  <w:num w:numId="10">
    <w:abstractNumId w:val="1"/>
  </w:num>
  <w:num w:numId="11">
    <w:abstractNumId w:val="19"/>
  </w:num>
  <w:num w:numId="12">
    <w:abstractNumId w:val="20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8"/>
  </w:num>
  <w:num w:numId="18">
    <w:abstractNumId w:val="7"/>
  </w:num>
  <w:num w:numId="19">
    <w:abstractNumId w:val="0"/>
  </w:num>
  <w:num w:numId="20">
    <w:abstractNumId w:val="9"/>
  </w:num>
  <w:num w:numId="21">
    <w:abstractNumId w:val="22"/>
  </w:num>
  <w:num w:numId="22">
    <w:abstractNumId w:val="6"/>
  </w:num>
  <w:num w:numId="23">
    <w:abstractNumId w:val="12"/>
  </w:num>
  <w:num w:numId="24">
    <w:abstractNumId w:val="17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00"/>
    <w:rsid w:val="000051B8"/>
    <w:rsid w:val="00027F82"/>
    <w:rsid w:val="00043980"/>
    <w:rsid w:val="000855FC"/>
    <w:rsid w:val="00097D5A"/>
    <w:rsid w:val="001540EC"/>
    <w:rsid w:val="00161B01"/>
    <w:rsid w:val="0018250A"/>
    <w:rsid w:val="00183466"/>
    <w:rsid w:val="00186E08"/>
    <w:rsid w:val="001B03F1"/>
    <w:rsid w:val="001F4A42"/>
    <w:rsid w:val="00210B75"/>
    <w:rsid w:val="00211FA4"/>
    <w:rsid w:val="002207D1"/>
    <w:rsid w:val="002253A2"/>
    <w:rsid w:val="0027264C"/>
    <w:rsid w:val="00274383"/>
    <w:rsid w:val="00280F5C"/>
    <w:rsid w:val="002D0DCC"/>
    <w:rsid w:val="002E1AEB"/>
    <w:rsid w:val="00330A86"/>
    <w:rsid w:val="003555FA"/>
    <w:rsid w:val="003841E4"/>
    <w:rsid w:val="00391094"/>
    <w:rsid w:val="003A4919"/>
    <w:rsid w:val="003C0336"/>
    <w:rsid w:val="00407C88"/>
    <w:rsid w:val="004213FF"/>
    <w:rsid w:val="00446746"/>
    <w:rsid w:val="00491A4A"/>
    <w:rsid w:val="00493B66"/>
    <w:rsid w:val="004B4B36"/>
    <w:rsid w:val="004C1792"/>
    <w:rsid w:val="00543BCB"/>
    <w:rsid w:val="00546591"/>
    <w:rsid w:val="005D0EE3"/>
    <w:rsid w:val="005D385D"/>
    <w:rsid w:val="005D5881"/>
    <w:rsid w:val="0068246E"/>
    <w:rsid w:val="006B2D32"/>
    <w:rsid w:val="006C47E0"/>
    <w:rsid w:val="006D0B73"/>
    <w:rsid w:val="0074129B"/>
    <w:rsid w:val="00746A84"/>
    <w:rsid w:val="00762A75"/>
    <w:rsid w:val="0076619F"/>
    <w:rsid w:val="007A3A93"/>
    <w:rsid w:val="007D155F"/>
    <w:rsid w:val="007E1BF1"/>
    <w:rsid w:val="00807E4D"/>
    <w:rsid w:val="00814284"/>
    <w:rsid w:val="00831075"/>
    <w:rsid w:val="00847156"/>
    <w:rsid w:val="0085170F"/>
    <w:rsid w:val="008653D6"/>
    <w:rsid w:val="008671CF"/>
    <w:rsid w:val="00893170"/>
    <w:rsid w:val="008A2E9B"/>
    <w:rsid w:val="008A6C02"/>
    <w:rsid w:val="008D4A93"/>
    <w:rsid w:val="008E4100"/>
    <w:rsid w:val="008E6384"/>
    <w:rsid w:val="00963F24"/>
    <w:rsid w:val="00982C19"/>
    <w:rsid w:val="009A032D"/>
    <w:rsid w:val="009D20AE"/>
    <w:rsid w:val="009F30AC"/>
    <w:rsid w:val="00A02114"/>
    <w:rsid w:val="00A22054"/>
    <w:rsid w:val="00A61F69"/>
    <w:rsid w:val="00A704C7"/>
    <w:rsid w:val="00A745E1"/>
    <w:rsid w:val="00AC08C9"/>
    <w:rsid w:val="00AD5C74"/>
    <w:rsid w:val="00B81976"/>
    <w:rsid w:val="00BA7A94"/>
    <w:rsid w:val="00BB1CD9"/>
    <w:rsid w:val="00BB6CF4"/>
    <w:rsid w:val="00BF7648"/>
    <w:rsid w:val="00C1645E"/>
    <w:rsid w:val="00C42B45"/>
    <w:rsid w:val="00C5557A"/>
    <w:rsid w:val="00C7705F"/>
    <w:rsid w:val="00CC4887"/>
    <w:rsid w:val="00CC4F4C"/>
    <w:rsid w:val="00CC7D2E"/>
    <w:rsid w:val="00CE47D2"/>
    <w:rsid w:val="00D01158"/>
    <w:rsid w:val="00D13F63"/>
    <w:rsid w:val="00D175BF"/>
    <w:rsid w:val="00D17E1C"/>
    <w:rsid w:val="00D309B9"/>
    <w:rsid w:val="00D35CC8"/>
    <w:rsid w:val="00D41ABD"/>
    <w:rsid w:val="00D45BB8"/>
    <w:rsid w:val="00D52D7C"/>
    <w:rsid w:val="00D91DD7"/>
    <w:rsid w:val="00D96304"/>
    <w:rsid w:val="00D96E60"/>
    <w:rsid w:val="00D9748A"/>
    <w:rsid w:val="00DD0E3C"/>
    <w:rsid w:val="00DE5218"/>
    <w:rsid w:val="00DF7AFE"/>
    <w:rsid w:val="00E3509B"/>
    <w:rsid w:val="00E51B67"/>
    <w:rsid w:val="00E64AE0"/>
    <w:rsid w:val="00E65BE7"/>
    <w:rsid w:val="00EB480B"/>
    <w:rsid w:val="00EF40E1"/>
    <w:rsid w:val="00F05B77"/>
    <w:rsid w:val="00F06936"/>
    <w:rsid w:val="00F23A17"/>
    <w:rsid w:val="00FA46E1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3E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10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129B"/>
    <w:pPr>
      <w:autoSpaceDE w:val="0"/>
      <w:autoSpaceDN w:val="0"/>
      <w:adjustRightInd w:val="0"/>
      <w:outlineLvl w:val="5"/>
    </w:pPr>
    <w:rPr>
      <w:rFonts w:eastAsiaTheme="minorHAn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F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9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74129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4129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F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Quicka">
    <w:name w:val="Quick a."/>
    <w:basedOn w:val="Default"/>
    <w:next w:val="Default"/>
    <w:uiPriority w:val="99"/>
    <w:rsid w:val="00280F5C"/>
    <w:rPr>
      <w:color w:val="auto"/>
    </w:rPr>
  </w:style>
  <w:style w:type="character" w:styleId="Hyperlink">
    <w:name w:val="Hyperlink"/>
    <w:basedOn w:val="DefaultParagraphFont"/>
    <w:uiPriority w:val="99"/>
    <w:unhideWhenUsed/>
    <w:rsid w:val="00D96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C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C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5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0297-9143-4C94-B619-C3A35504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22277C0B.dotm</Template>
  <TotalTime>0</TotalTime>
  <Pages>5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2018-10-15T20:11:00Z</dcterms:created>
  <dcterms:modified xsi:type="dcterms:W3CDTF">2018-10-15T20:11:00Z</dcterms:modified>
</cp:coreProperties>
</file>