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698"/>
        <w:gridCol w:w="4878"/>
      </w:tblGrid>
      <w:tr w:rsidR="00EF6794" w:rsidTr="003F2209">
        <w:tc>
          <w:tcPr>
            <w:tcW w:w="4698" w:type="dxa"/>
          </w:tcPr>
          <w:p w:rsidR="00EF6794" w:rsidRDefault="00DF7735">
            <w:r>
              <w:rPr>
                <w:noProof/>
              </w:rPr>
              <w:drawing>
                <wp:inline distT="0" distB="0" distL="0" distR="0">
                  <wp:extent cx="2822713" cy="21171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386" cy="2122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A3A4C" w:rsidRPr="006A3A4C" w:rsidRDefault="006A3A4C" w:rsidP="00186FE5">
            <w:pPr>
              <w:rPr>
                <w:b/>
              </w:rPr>
            </w:pPr>
            <w:r w:rsidRPr="006A3A4C">
              <w:rPr>
                <w:b/>
              </w:rPr>
              <w:t>Slide 1</w:t>
            </w:r>
            <w:bookmarkStart w:id="0" w:name="_GoBack"/>
            <w:bookmarkEnd w:id="0"/>
          </w:p>
          <w:p w:rsidR="00C073CB" w:rsidRDefault="00C073CB" w:rsidP="00186FE5"/>
          <w:p w:rsidR="00186FE5" w:rsidRDefault="00186FE5" w:rsidP="006C71BF">
            <w:r>
              <w:t xml:space="preserve">Today </w:t>
            </w:r>
            <w:r w:rsidR="006A3A4C">
              <w:t>we’re</w:t>
            </w:r>
            <w:r>
              <w:t xml:space="preserve"> </w:t>
            </w:r>
            <w:r w:rsidR="006A3A4C">
              <w:t xml:space="preserve">going to talk </w:t>
            </w:r>
            <w:r>
              <w:t>about your NCRC</w:t>
            </w:r>
            <w:r w:rsidR="006A3A4C">
              <w:t xml:space="preserve"> certificate</w:t>
            </w:r>
            <w:r>
              <w:t xml:space="preserve"> level and scores on the individual assessments</w:t>
            </w:r>
            <w:r w:rsidR="006A3A4C">
              <w:t>, and what you can/should do with those scores</w:t>
            </w:r>
            <w:r>
              <w:t>.</w:t>
            </w:r>
          </w:p>
        </w:tc>
      </w:tr>
      <w:tr w:rsidR="00AE40E8" w:rsidTr="003F2209">
        <w:tc>
          <w:tcPr>
            <w:tcW w:w="4698" w:type="dxa"/>
          </w:tcPr>
          <w:p w:rsidR="00AE40E8" w:rsidRDefault="00DF77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19415" cy="2339670"/>
                  <wp:effectExtent l="0" t="0" r="508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214" cy="234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AE40E8" w:rsidRDefault="006A3A4C" w:rsidP="00186FE5">
            <w:pPr>
              <w:rPr>
                <w:b/>
              </w:rPr>
            </w:pPr>
            <w:r w:rsidRPr="006A3A4C">
              <w:rPr>
                <w:b/>
              </w:rPr>
              <w:t>Slide 2</w:t>
            </w:r>
          </w:p>
          <w:p w:rsidR="00C073CB" w:rsidRDefault="00C073CB" w:rsidP="00186FE5">
            <w:pPr>
              <w:rPr>
                <w:b/>
              </w:rPr>
            </w:pPr>
          </w:p>
          <w:p w:rsidR="00EC3F6B" w:rsidRDefault="00EC3F6B" w:rsidP="00EC3F6B">
            <w:r>
              <w:t>You remember from the introductory PowerPoint that to earn a certificate, you had to have scored at least a 3 on each one of the three assessments.</w:t>
            </w:r>
          </w:p>
          <w:p w:rsidR="00EC3F6B" w:rsidRDefault="00EC3F6B" w:rsidP="00186FE5"/>
          <w:p w:rsidR="00EC3F6B" w:rsidRDefault="00EC3F6B" w:rsidP="00186FE5"/>
          <w:p w:rsidR="00C073CB" w:rsidRDefault="00C073CB" w:rsidP="00186FE5">
            <w:r>
              <w:t xml:space="preserve">Take a minute to look at your certificate. </w:t>
            </w:r>
          </w:p>
          <w:p w:rsidR="00C073CB" w:rsidRDefault="00C073CB" w:rsidP="00186FE5"/>
          <w:p w:rsidR="00C073CB" w:rsidRDefault="00C073CB" w:rsidP="00186FE5">
            <w:r>
              <w:t>On the front you’ll notice</w:t>
            </w:r>
          </w:p>
          <w:p w:rsidR="00C073CB" w:rsidRDefault="00C073CB" w:rsidP="00C073CB">
            <w:pPr>
              <w:pStyle w:val="ListParagraph"/>
              <w:numPr>
                <w:ilvl w:val="0"/>
                <w:numId w:val="2"/>
              </w:numPr>
            </w:pPr>
            <w:r>
              <w:t>Your name (check spelling)</w:t>
            </w:r>
          </w:p>
          <w:p w:rsidR="00C073CB" w:rsidRDefault="00C073CB" w:rsidP="00C073CB">
            <w:pPr>
              <w:pStyle w:val="ListParagraph"/>
              <w:numPr>
                <w:ilvl w:val="0"/>
                <w:numId w:val="2"/>
              </w:numPr>
            </w:pPr>
            <w:r>
              <w:t>Your level</w:t>
            </w:r>
          </w:p>
          <w:p w:rsidR="00C073CB" w:rsidRDefault="00C073CB" w:rsidP="00C073CB">
            <w:pPr>
              <w:pStyle w:val="ListParagraph"/>
              <w:numPr>
                <w:ilvl w:val="0"/>
                <w:numId w:val="2"/>
              </w:numPr>
            </w:pPr>
            <w:r>
              <w:t>Your individual certificate number and date it was issued</w:t>
            </w:r>
          </w:p>
          <w:p w:rsidR="00C073CB" w:rsidRDefault="00ED0BD4" w:rsidP="00C073CB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C073CB">
              <w:t>Cabinet secretary’s signature</w:t>
            </w:r>
          </w:p>
          <w:p w:rsidR="00C073CB" w:rsidRDefault="00C073CB" w:rsidP="00C073CB">
            <w:pPr>
              <w:pStyle w:val="ListParagraph"/>
              <w:numPr>
                <w:ilvl w:val="0"/>
                <w:numId w:val="2"/>
              </w:numPr>
            </w:pPr>
            <w:r>
              <w:t>State seal</w:t>
            </w:r>
          </w:p>
          <w:p w:rsidR="00C073CB" w:rsidRDefault="00C073CB" w:rsidP="00C073CB"/>
          <w:p w:rsidR="00C073CB" w:rsidRDefault="00C073CB" w:rsidP="00C073CB">
            <w:r>
              <w:t>On the back you’ll see</w:t>
            </w:r>
          </w:p>
          <w:p w:rsidR="00C073CB" w:rsidRDefault="00C073CB" w:rsidP="00C073CB">
            <w:pPr>
              <w:pStyle w:val="ListParagraph"/>
              <w:numPr>
                <w:ilvl w:val="0"/>
                <w:numId w:val="3"/>
              </w:numPr>
            </w:pPr>
            <w:r>
              <w:t xml:space="preserve">Specific </w:t>
            </w:r>
            <w:r w:rsidR="00EC3F6B">
              <w:t xml:space="preserve">level of </w:t>
            </w:r>
            <w:r>
              <w:t>skills you can share with employers</w:t>
            </w:r>
          </w:p>
          <w:p w:rsidR="00C073CB" w:rsidRDefault="00C073CB" w:rsidP="00C073CB">
            <w:pPr>
              <w:pStyle w:val="ListParagraph"/>
              <w:numPr>
                <w:ilvl w:val="0"/>
                <w:numId w:val="3"/>
              </w:numPr>
            </w:pPr>
            <w:r>
              <w:t>Directions on how to access your account</w:t>
            </w:r>
          </w:p>
          <w:p w:rsidR="00C073CB" w:rsidRDefault="00C073CB" w:rsidP="00186FE5"/>
          <w:p w:rsidR="00C073CB" w:rsidRDefault="00C073CB" w:rsidP="00186FE5"/>
          <w:p w:rsidR="00C073CB" w:rsidRPr="00C073CB" w:rsidRDefault="00C073CB" w:rsidP="00186FE5"/>
        </w:tc>
      </w:tr>
      <w:tr w:rsidR="00AE40E8" w:rsidTr="003F2209">
        <w:tc>
          <w:tcPr>
            <w:tcW w:w="4698" w:type="dxa"/>
          </w:tcPr>
          <w:p w:rsidR="00AE40E8" w:rsidRPr="00AE40E8" w:rsidRDefault="00062809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15344" cy="218660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02" cy="2190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AE40E8" w:rsidRDefault="006A3A4C" w:rsidP="00186FE5">
            <w:pPr>
              <w:rPr>
                <w:b/>
              </w:rPr>
            </w:pPr>
            <w:r w:rsidRPr="00C073CB">
              <w:rPr>
                <w:b/>
              </w:rPr>
              <w:t>Slide 3</w:t>
            </w:r>
          </w:p>
          <w:p w:rsidR="00C073CB" w:rsidRDefault="00C073CB" w:rsidP="00186FE5">
            <w:pPr>
              <w:rPr>
                <w:b/>
              </w:rPr>
            </w:pPr>
          </w:p>
          <w:p w:rsidR="003F2209" w:rsidRPr="003F2209" w:rsidRDefault="003F2209" w:rsidP="003F2209">
            <w:r w:rsidRPr="003F2209">
              <w:t>Your certificate level (bronze, silver, gold, or platinum) is based on the LOWEST score you earned.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So, if someone earned scores of 7/7/5, what would their certificate level be? (gold)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If someone earned 4/5/3, what would their level be? (bronze)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People are often disappointed their certificate level isn’t an average of their three scores, but </w:t>
            </w:r>
            <w:r w:rsidR="008348B4">
              <w:t>a high score in math doesn’t compensate for a lower score in reading</w:t>
            </w:r>
            <w:r w:rsidRPr="003F2209">
              <w:t>. That’s why it’s very important you are able to talk about your individual scores.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Let’s practice this now. I want you to pretend you’re in a job interview with the person next to you, and share with them your INDIVIDUAL assessment levels, and some of the skills that proves you have.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For instance, I might say, “You can see I have a gold certificate, but I scored at the platinum level in both math and reading. That proves I have skills in critical thinking; and comparing, summarizing, and applying information presented graphically.”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(Give students time to practice.)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One neat thing about this is that in being able to talk about it, you’ll probably be put in the best place in that job. If math is a weakness for you but graphic literacy is </w:t>
            </w:r>
            <w:proofErr w:type="gramStart"/>
            <w:r w:rsidRPr="003F2209">
              <w:t>a strength</w:t>
            </w:r>
            <w:proofErr w:type="gramEnd"/>
            <w:r w:rsidRPr="003F2209">
              <w:t xml:space="preserve">, you’re going to be better suited for one position than another. Having you and your employer recognize your strengths from the beginning will be better for both of you. </w:t>
            </w:r>
          </w:p>
          <w:p w:rsidR="00C073CB" w:rsidRDefault="00C073CB" w:rsidP="00186FE5"/>
          <w:p w:rsidR="00C073CB" w:rsidRPr="00C073CB" w:rsidRDefault="008D116F" w:rsidP="00ED0BD4">
            <w:r>
              <w:t xml:space="preserve">Now that you have your scores, what </w:t>
            </w:r>
            <w:r>
              <w:lastRenderedPageBreak/>
              <w:t>should you do with them?</w:t>
            </w:r>
          </w:p>
        </w:tc>
      </w:tr>
      <w:tr w:rsidR="00AE40E8" w:rsidTr="003F2209">
        <w:tc>
          <w:tcPr>
            <w:tcW w:w="4698" w:type="dxa"/>
          </w:tcPr>
          <w:p w:rsidR="00AE40E8" w:rsidRPr="00AE40E8" w:rsidRDefault="008348B4">
            <w:pPr>
              <w:rPr>
                <w:noProof/>
              </w:rPr>
            </w:pPr>
            <w:r w:rsidRPr="008348B4">
              <w:rPr>
                <w:noProof/>
              </w:rPr>
              <w:lastRenderedPageBreak/>
              <w:drawing>
                <wp:inline distT="0" distB="0" distL="0" distR="0">
                  <wp:extent cx="2846070" cy="21348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70" cy="21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AE40E8" w:rsidRDefault="00116617" w:rsidP="00186FE5">
            <w:pPr>
              <w:rPr>
                <w:b/>
              </w:rPr>
            </w:pPr>
            <w:r>
              <w:rPr>
                <w:b/>
              </w:rPr>
              <w:t>Slide 4</w:t>
            </w:r>
          </w:p>
          <w:p w:rsidR="00D519FA" w:rsidRDefault="00D519FA" w:rsidP="00186FE5">
            <w:pPr>
              <w:rPr>
                <w:b/>
              </w:rPr>
            </w:pPr>
          </w:p>
          <w:p w:rsidR="00D519FA" w:rsidRDefault="00D519FA" w:rsidP="00186FE5">
            <w:r>
              <w:t>The first thing you should do</w:t>
            </w:r>
            <w:r w:rsidR="008D116F">
              <w:t xml:space="preserve"> once you have your certificate</w:t>
            </w:r>
            <w:r>
              <w:t xml:space="preserve"> is </w:t>
            </w:r>
            <w:r w:rsidR="00EC3F6B">
              <w:t>update your account. Y</w:t>
            </w:r>
            <w:r>
              <w:t xml:space="preserve">ou will find </w:t>
            </w:r>
            <w:r w:rsidR="00EC3F6B">
              <w:t>the login information</w:t>
            </w:r>
            <w:r w:rsidR="00D71A98">
              <w:t xml:space="preserve"> in the cover letter of your results packet.</w:t>
            </w:r>
          </w:p>
          <w:p w:rsidR="00F65D50" w:rsidRDefault="00F65D50" w:rsidP="00186FE5"/>
          <w:p w:rsidR="00F65D50" w:rsidRPr="00ED0BD4" w:rsidRDefault="00F65D50" w:rsidP="00F65D50">
            <w:pPr>
              <w:rPr>
                <w:b/>
              </w:rPr>
            </w:pPr>
            <w:r w:rsidRPr="00ED0BD4">
              <w:rPr>
                <w:b/>
              </w:rPr>
              <w:t>(Note: If you can, give the students time to do this.)</w:t>
            </w:r>
          </w:p>
          <w:p w:rsidR="00F65D50" w:rsidRDefault="00F65D50" w:rsidP="00186FE5"/>
          <w:p w:rsidR="00F65D50" w:rsidRPr="00F65D50" w:rsidRDefault="006D182D" w:rsidP="006D182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6D182D">
              <w:t>Go to MyWorkKeys.com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Log in using User ID and Tempora</w:t>
            </w:r>
            <w:r w:rsidR="00D71A98">
              <w:t>ry Password found in the letter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First time in will have to answer a couple of demographics questions (anything with a * is required)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Using the navigation on the left side, click on Certificate Management 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Click Share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Click Agree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Click Submit</w:t>
            </w:r>
          </w:p>
          <w:p w:rsidR="00F65D50" w:rsidRPr="00F65D50" w:rsidRDefault="00F65D50" w:rsidP="00F65D50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>A link will appear, which is what you will use to give to a potential employer or to add to your résumé</w:t>
            </w:r>
          </w:p>
          <w:p w:rsidR="00D519FA" w:rsidRDefault="00D519FA" w:rsidP="00186FE5"/>
          <w:p w:rsidR="00D519FA" w:rsidRPr="00D519FA" w:rsidRDefault="00F65D50" w:rsidP="004163AD">
            <w:r>
              <w:t>Sharing it</w:t>
            </w:r>
            <w:r w:rsidR="00D519FA">
              <w:t xml:space="preserve"> doesn’t mean everyone will be able to </w:t>
            </w:r>
            <w:r w:rsidR="004163AD">
              <w:t>access the information. The only people who will be able to see it are those you’ve given the link to.</w:t>
            </w:r>
          </w:p>
        </w:tc>
      </w:tr>
      <w:tr w:rsidR="00AE40E8" w:rsidTr="003F2209">
        <w:tc>
          <w:tcPr>
            <w:tcW w:w="4698" w:type="dxa"/>
          </w:tcPr>
          <w:p w:rsidR="00AE40E8" w:rsidRPr="00AE40E8" w:rsidRDefault="00214873">
            <w:pPr>
              <w:rPr>
                <w:noProof/>
              </w:rPr>
            </w:pPr>
            <w:r w:rsidRPr="00214873">
              <w:rPr>
                <w:noProof/>
              </w:rPr>
              <w:drawing>
                <wp:inline distT="0" distB="0" distL="0" distR="0">
                  <wp:extent cx="2846070" cy="21348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70" cy="21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AE40E8" w:rsidRPr="004163AD" w:rsidRDefault="00116617" w:rsidP="00186FE5">
            <w:pPr>
              <w:rPr>
                <w:b/>
              </w:rPr>
            </w:pPr>
            <w:r>
              <w:rPr>
                <w:b/>
              </w:rPr>
              <w:t>Slide 5</w:t>
            </w:r>
          </w:p>
          <w:p w:rsidR="004163AD" w:rsidRDefault="004163AD" w:rsidP="00186FE5"/>
          <w:p w:rsidR="00CE4CE2" w:rsidRPr="003F2209" w:rsidRDefault="00CE4CE2" w:rsidP="00CE4CE2">
            <w:r w:rsidRPr="003F2209">
              <w:t>Yo</w:t>
            </w:r>
            <w:r>
              <w:t>u see in your packet you have a</w:t>
            </w:r>
            <w:r w:rsidRPr="003F2209">
              <w:t xml:space="preserve"> </w:t>
            </w:r>
            <w:r>
              <w:t>summary report</w:t>
            </w:r>
            <w:r w:rsidRPr="003F2209">
              <w:t xml:space="preserve"> for the assessments.</w:t>
            </w:r>
            <w:r>
              <w:t xml:space="preserve"> This report will match the transcript you can print free from your account as often as you want.</w:t>
            </w:r>
          </w:p>
          <w:p w:rsidR="00CE4CE2" w:rsidRPr="003F2209" w:rsidRDefault="00CE4CE2" w:rsidP="00CE4CE2"/>
          <w:p w:rsidR="003F2209" w:rsidRPr="003F2209" w:rsidRDefault="00CE4CE2" w:rsidP="003F2209">
            <w:r w:rsidRPr="003F2209">
              <w:t> </w:t>
            </w:r>
            <w:r w:rsidR="003F2209" w:rsidRPr="003F2209">
              <w:t> </w:t>
            </w:r>
          </w:p>
          <w:p w:rsidR="003F2209" w:rsidRPr="003F2209" w:rsidRDefault="003F2209" w:rsidP="003F2209">
            <w:r w:rsidRPr="003F2209">
              <w:rPr>
                <w:b/>
                <w:bCs/>
              </w:rPr>
              <w:t>(Note: Again, if you have time, have the students print a transcript)</w:t>
            </w:r>
          </w:p>
          <w:p w:rsidR="00AC230B" w:rsidRDefault="00AC230B" w:rsidP="003F2209">
            <w:r w:rsidRPr="00AC230B">
              <w:t>Go to MyWorkKeys.com</w:t>
            </w:r>
          </w:p>
          <w:p w:rsidR="003F2209" w:rsidRPr="003F2209" w:rsidRDefault="003F2209" w:rsidP="003F2209">
            <w:r w:rsidRPr="003F2209">
              <w:t>Log in using User ID and Temporary Password found on c</w:t>
            </w:r>
            <w:r w:rsidR="006C4DAF">
              <w:t>over letter</w:t>
            </w:r>
          </w:p>
          <w:p w:rsidR="003F2209" w:rsidRPr="003F2209" w:rsidRDefault="003F2209" w:rsidP="003F2209">
            <w:r w:rsidRPr="003F2209">
              <w:t xml:space="preserve">If it’s their first time in, they will have to answer a couple of demographics </w:t>
            </w:r>
            <w:r w:rsidRPr="003F2209">
              <w:lastRenderedPageBreak/>
              <w:t>questions (anything with a * is required)</w:t>
            </w:r>
          </w:p>
          <w:p w:rsidR="003F2209" w:rsidRPr="003F2209" w:rsidRDefault="003F2209" w:rsidP="003F2209">
            <w:r w:rsidRPr="003F2209">
              <w:t>Click Test Management on the left-hand side of the screen</w:t>
            </w:r>
          </w:p>
          <w:p w:rsidR="003F2209" w:rsidRPr="003F2209" w:rsidRDefault="003F2209" w:rsidP="003F2209">
            <w:r w:rsidRPr="003F2209">
              <w:t xml:space="preserve">Click Share beside </w:t>
            </w:r>
            <w:r w:rsidRPr="003F2209">
              <w:rPr>
                <w:b/>
                <w:bCs/>
              </w:rPr>
              <w:t>each</w:t>
            </w:r>
            <w:r w:rsidRPr="003F2209">
              <w:t xml:space="preserve"> assessment</w:t>
            </w:r>
          </w:p>
          <w:p w:rsidR="003F2209" w:rsidRPr="003F2209" w:rsidRDefault="003F2209" w:rsidP="003F2209">
            <w:r w:rsidRPr="003F2209">
              <w:t>Click on the URL that appears above the assessments</w:t>
            </w:r>
          </w:p>
          <w:p w:rsidR="003F2209" w:rsidRPr="003F2209" w:rsidRDefault="003F2209" w:rsidP="003F2209">
            <w:r w:rsidRPr="003F2209">
              <w:t>Print</w:t>
            </w:r>
          </w:p>
          <w:p w:rsidR="003F2209" w:rsidRDefault="003F2209" w:rsidP="003F2209"/>
          <w:p w:rsidR="00CE4CE2" w:rsidRPr="003F2209" w:rsidRDefault="00CE4CE2" w:rsidP="003F2209">
            <w:r>
              <w:t>Let’s see how you can use your individual scores to explore different occupations.</w:t>
            </w:r>
          </w:p>
          <w:p w:rsidR="00F65D50" w:rsidRDefault="00F65D50" w:rsidP="00CE4CE2"/>
        </w:tc>
      </w:tr>
      <w:tr w:rsidR="005573AF" w:rsidTr="003F2209">
        <w:trPr>
          <w:trHeight w:val="10221"/>
        </w:trPr>
        <w:tc>
          <w:tcPr>
            <w:tcW w:w="4698" w:type="dxa"/>
          </w:tcPr>
          <w:p w:rsidR="005573AF" w:rsidRPr="00AE40E8" w:rsidRDefault="00DF773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12178" cy="240924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4635" cy="241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5573AF" w:rsidRPr="001959F6" w:rsidRDefault="00116617" w:rsidP="00186FE5">
            <w:pPr>
              <w:rPr>
                <w:b/>
              </w:rPr>
            </w:pPr>
            <w:r>
              <w:rPr>
                <w:b/>
              </w:rPr>
              <w:t>Slide 6</w:t>
            </w:r>
          </w:p>
          <w:p w:rsidR="005573AF" w:rsidRDefault="005573AF" w:rsidP="00186FE5"/>
          <w:p w:rsidR="005573AF" w:rsidRDefault="005573AF" w:rsidP="00186FE5">
            <w:r>
              <w:t xml:space="preserve">You might remember from the introductory PowerPoint that ACT has studied and profiled over 20,000 jobs. </w:t>
            </w:r>
          </w:p>
          <w:p w:rsidR="005573AF" w:rsidRDefault="005573AF" w:rsidP="00186FE5"/>
          <w:p w:rsidR="005573AF" w:rsidRDefault="005573AF" w:rsidP="00186FE5">
            <w:r>
              <w:t>They worked with people who are actually performing the jobs to determine what skills they are using, and at what level they are using them.</w:t>
            </w:r>
          </w:p>
          <w:p w:rsidR="005573AF" w:rsidRDefault="005573AF" w:rsidP="00186FE5"/>
          <w:p w:rsidR="005573AF" w:rsidRDefault="005573AF" w:rsidP="00186FE5">
            <w:r>
              <w:t>Then they assigned the WorkKeys skill level (bronze, silver, gold, or platinum) to each.</w:t>
            </w:r>
          </w:p>
          <w:p w:rsidR="005573AF" w:rsidRDefault="005573AF" w:rsidP="00186FE5"/>
          <w:p w:rsidR="005573AF" w:rsidRDefault="005573AF" w:rsidP="00186FE5">
            <w:r>
              <w:t>Let’s spend some time exploring the site where ACT has collected all of this information.</w:t>
            </w:r>
          </w:p>
          <w:p w:rsidR="005573AF" w:rsidRDefault="005573AF" w:rsidP="001959F6"/>
          <w:p w:rsidR="005573AF" w:rsidRDefault="005573AF" w:rsidP="001959F6">
            <w:r w:rsidRPr="00ED0BD4">
              <w:rPr>
                <w:b/>
              </w:rPr>
              <w:t>(*Note: Both the heading and the picture are linked to the Job Profiles site. The link is</w:t>
            </w:r>
            <w:r>
              <w:t xml:space="preserve"> </w:t>
            </w:r>
            <w:hyperlink r:id="rId13" w:history="1">
              <w:r w:rsidRPr="0022426D">
                <w:rPr>
                  <w:rStyle w:val="Hyperlink"/>
                </w:rPr>
                <w:t>http://profiles.keytrain.com/</w:t>
              </w:r>
            </w:hyperlink>
            <w:r>
              <w:t>)</w:t>
            </w:r>
            <w:r w:rsidR="004C4B3C">
              <w:t xml:space="preserve"> </w:t>
            </w:r>
          </w:p>
          <w:p w:rsidR="004C4B3C" w:rsidRDefault="004C4B3C" w:rsidP="001959F6">
            <w:r>
              <w:t xml:space="preserve">*Note: </w:t>
            </w:r>
            <w:r w:rsidR="00595BB5">
              <w:t xml:space="preserve">due to the name change, </w:t>
            </w:r>
            <w:r>
              <w:t xml:space="preserve">the current assessment titles </w:t>
            </w:r>
            <w:r w:rsidR="00595BB5">
              <w:t>might be listed as Locating Information rather than Graphic Literacy and Reading for Information rather than Workplace Documents.</w:t>
            </w:r>
          </w:p>
          <w:p w:rsidR="005573AF" w:rsidRDefault="005573AF" w:rsidP="001959F6"/>
          <w:p w:rsidR="005573AF" w:rsidRDefault="005573AF" w:rsidP="001959F6">
            <w:pPr>
              <w:rPr>
                <w:b/>
              </w:rPr>
            </w:pPr>
            <w:r w:rsidRPr="006C71BF">
              <w:rPr>
                <w:b/>
              </w:rPr>
              <w:t xml:space="preserve">Hand out the </w:t>
            </w:r>
            <w:r w:rsidRPr="006C71BF">
              <w:rPr>
                <w:b/>
                <w:i/>
              </w:rPr>
              <w:t>Occupation Investigation</w:t>
            </w:r>
            <w:r w:rsidRPr="006C71BF">
              <w:rPr>
                <w:b/>
              </w:rPr>
              <w:t xml:space="preserve"> worksheet. Complete the worksheet as it works best for you—as a class or individually.</w:t>
            </w:r>
            <w:r w:rsidR="004C4B3C">
              <w:rPr>
                <w:b/>
              </w:rPr>
              <w:t xml:space="preserve"> </w:t>
            </w:r>
          </w:p>
          <w:p w:rsidR="004C4B3C" w:rsidRDefault="004C4B3C" w:rsidP="001959F6">
            <w:pPr>
              <w:rPr>
                <w:b/>
              </w:rPr>
            </w:pPr>
          </w:p>
          <w:p w:rsidR="004C4B3C" w:rsidRPr="006C71BF" w:rsidRDefault="004C4B3C" w:rsidP="001959F6">
            <w:pPr>
              <w:rPr>
                <w:b/>
              </w:rPr>
            </w:pPr>
          </w:p>
          <w:p w:rsidR="005573AF" w:rsidRDefault="005573AF" w:rsidP="001959F6"/>
          <w:p w:rsidR="005573AF" w:rsidRDefault="005573AF" w:rsidP="001959F6">
            <w:r>
              <w:t>When the students have finished:</w:t>
            </w:r>
          </w:p>
          <w:p w:rsidR="005573AF" w:rsidRDefault="005573AF" w:rsidP="001959F6"/>
          <w:p w:rsidR="005573AF" w:rsidRDefault="005573AF" w:rsidP="001959F6">
            <w:r>
              <w:t>I heard a couple of you mention your current skills aren’t what they need to be for a job you’re interested in—that is question 2a.</w:t>
            </w:r>
          </w:p>
          <w:p w:rsidR="005573AF" w:rsidRDefault="005573AF" w:rsidP="001959F6"/>
          <w:p w:rsidR="005573AF" w:rsidRDefault="005573AF" w:rsidP="00A11DF5">
            <w:r>
              <w:t xml:space="preserve">Let’s </w:t>
            </w:r>
            <w:r w:rsidR="00A11DF5">
              <w:t>talk about</w:t>
            </w:r>
            <w:r>
              <w:t xml:space="preserve"> what this might look like.</w:t>
            </w:r>
          </w:p>
          <w:p w:rsidR="00CE4CE2" w:rsidRDefault="00CE4CE2" w:rsidP="00A11DF5"/>
          <w:p w:rsidR="00CE4CE2" w:rsidRDefault="00CE4CE2" w:rsidP="00595BB5"/>
        </w:tc>
      </w:tr>
      <w:tr w:rsidR="00AE40E8" w:rsidTr="003F2209">
        <w:tc>
          <w:tcPr>
            <w:tcW w:w="4698" w:type="dxa"/>
          </w:tcPr>
          <w:p w:rsidR="00AE40E8" w:rsidRDefault="00DF773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1983" cy="2206589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234" cy="2208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AE40E8" w:rsidRPr="003B1E4A" w:rsidRDefault="00116617">
            <w:pPr>
              <w:rPr>
                <w:b/>
              </w:rPr>
            </w:pPr>
            <w:r>
              <w:rPr>
                <w:b/>
              </w:rPr>
              <w:t>Slide 7</w:t>
            </w:r>
          </w:p>
          <w:p w:rsidR="003B1E4A" w:rsidRDefault="003B1E4A"/>
          <w:p w:rsidR="00595BB5" w:rsidRPr="003F2209" w:rsidRDefault="00595BB5" w:rsidP="00595BB5">
            <w:r w:rsidRPr="003F2209">
              <w:t>Remember: most of you have scores higher than your certificate level, so you will want to emphasize the score you earned on each assessment more than your overall certificate level.</w:t>
            </w:r>
          </w:p>
          <w:p w:rsidR="00595BB5" w:rsidRDefault="00595BB5"/>
          <w:p w:rsidR="00595BB5" w:rsidRDefault="00595BB5"/>
          <w:p w:rsidR="003F2209" w:rsidRPr="003F2209" w:rsidRDefault="003F2209" w:rsidP="003F2209">
            <w:r w:rsidRPr="003F2209">
              <w:t xml:space="preserve">The black boxes in this graphic show a potential job </w:t>
            </w:r>
            <w:r w:rsidR="00595BB5">
              <w:rPr>
                <w:i/>
                <w:iCs/>
              </w:rPr>
              <w:t>suggests</w:t>
            </w:r>
          </w:p>
          <w:p w:rsidR="003F2209" w:rsidRPr="003F2209" w:rsidRDefault="003F2209" w:rsidP="003F2209">
            <w:r w:rsidRPr="003F2209">
              <w:t>Level 4 in workplace documents</w:t>
            </w:r>
          </w:p>
          <w:p w:rsidR="003F2209" w:rsidRPr="003F2209" w:rsidRDefault="003F2209" w:rsidP="003F2209">
            <w:r w:rsidRPr="003F2209">
              <w:t>Level 6 in applied math</w:t>
            </w:r>
          </w:p>
          <w:p w:rsidR="003F2209" w:rsidRPr="003F2209" w:rsidRDefault="003F2209" w:rsidP="003F2209">
            <w:r w:rsidRPr="003F2209">
              <w:t>Level 3 in graphic literacy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The red boxes show the person who took the assessments </w:t>
            </w:r>
            <w:r w:rsidRPr="003F2209">
              <w:rPr>
                <w:i/>
                <w:iCs/>
              </w:rPr>
              <w:t>scored</w:t>
            </w:r>
          </w:p>
          <w:p w:rsidR="003F2209" w:rsidRPr="003F2209" w:rsidRDefault="003F2209" w:rsidP="003F2209">
            <w:r w:rsidRPr="003F2209">
              <w:t>Level 3 in workplace documents</w:t>
            </w:r>
          </w:p>
          <w:p w:rsidR="003F2209" w:rsidRPr="003F2209" w:rsidRDefault="003F2209" w:rsidP="003F2209">
            <w:r w:rsidRPr="003F2209">
              <w:t>Level 5 in applied math</w:t>
            </w:r>
          </w:p>
          <w:p w:rsidR="003F2209" w:rsidRPr="003F2209" w:rsidRDefault="003F2209" w:rsidP="003F2209">
            <w:r w:rsidRPr="003F2209">
              <w:t>Level 3 in graphic literacy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Does the person have the skills necessary to perform the tasks for this job?</w:t>
            </w:r>
          </w:p>
          <w:p w:rsidR="003F2209" w:rsidRPr="003F2209" w:rsidRDefault="003F2209" w:rsidP="003F2209">
            <w:pPr>
              <w:pStyle w:val="ListParagraph"/>
              <w:numPr>
                <w:ilvl w:val="0"/>
                <w:numId w:val="11"/>
              </w:numPr>
            </w:pPr>
            <w:r w:rsidRPr="003F2209">
              <w:t>Yes in graphic literacy</w:t>
            </w:r>
          </w:p>
          <w:p w:rsidR="003F2209" w:rsidRPr="003F2209" w:rsidRDefault="003F2209" w:rsidP="003F2209">
            <w:pPr>
              <w:pStyle w:val="ListParagraph"/>
              <w:numPr>
                <w:ilvl w:val="0"/>
                <w:numId w:val="11"/>
              </w:numPr>
            </w:pPr>
            <w:r w:rsidRPr="003F2209">
              <w:t>No in workplace documents and math—needs to move up a level in each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Now, we hope that through the rest of this school year and, as you move into the world </w:t>
            </w:r>
            <w:r w:rsidR="00595BB5">
              <w:t>of</w:t>
            </w:r>
            <w:r w:rsidRPr="003F2209">
              <w:t xml:space="preserve"> post-secondary or work, that gap will close.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What if it doesn’t, or what if you don’t want to wait?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One thing you can do is ask me to request a </w:t>
            </w:r>
            <w:r w:rsidR="00D25058">
              <w:t>WorkKeys Curriculum</w:t>
            </w:r>
            <w:r w:rsidRPr="003F2209">
              <w:t xml:space="preserve"> account for you. 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D25058" w:rsidP="003F2209">
            <w:r>
              <w:t>WorkKeys Curriculum</w:t>
            </w:r>
            <w:r w:rsidR="003F2209" w:rsidRPr="003F2209">
              <w:t xml:space="preserve"> is an online curriculum that matches the WorkKeys assessments. It has pre- and post-tests and lessons for each level.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The Department of Labor recommends people who use </w:t>
            </w:r>
            <w:r w:rsidR="00D25058">
              <w:t>WorkKeys Curriculum</w:t>
            </w:r>
            <w:r w:rsidRPr="003F2209">
              <w:t xml:space="preserve"> work </w:t>
            </w:r>
            <w:r w:rsidRPr="003F2209">
              <w:lastRenderedPageBreak/>
              <w:t>at least through the level they want to earn, if not one level higher.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That way, you can be pretty sure you should be able to earn the level you’re shooting for when you go back to test.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You can re-test in just the area you want to raise your score—you don’t have to re-test in all three.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>If you raise your score and earn a higher certificate, it will automatically come to you. You don’t have to order or pay for it.</w:t>
            </w:r>
          </w:p>
          <w:p w:rsidR="003F2209" w:rsidRPr="003F2209" w:rsidRDefault="003F2209" w:rsidP="003F2209">
            <w:r w:rsidRPr="003F2209">
              <w:t> </w:t>
            </w:r>
          </w:p>
          <w:p w:rsidR="003F2209" w:rsidRPr="003F2209" w:rsidRDefault="003F2209" w:rsidP="003F2209">
            <w:r w:rsidRPr="003F2209">
              <w:t xml:space="preserve">Let me know if any of you are interested in a </w:t>
            </w:r>
            <w:r w:rsidR="00D25058">
              <w:t>WorkKeys Curriculum</w:t>
            </w:r>
            <w:r w:rsidRPr="003F2209">
              <w:t xml:space="preserve"> account, and I’ll get one set up for you.</w:t>
            </w:r>
          </w:p>
          <w:p w:rsidR="003B1E4A" w:rsidRDefault="003B1E4A" w:rsidP="003B1E4A"/>
        </w:tc>
      </w:tr>
      <w:tr w:rsidR="006A3A4C" w:rsidTr="003F2209">
        <w:tc>
          <w:tcPr>
            <w:tcW w:w="4698" w:type="dxa"/>
          </w:tcPr>
          <w:p w:rsidR="006A3A4C" w:rsidRPr="006A3A4C" w:rsidRDefault="004C115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31957" cy="22740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278" cy="2275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A3A4C" w:rsidRPr="00BE4245" w:rsidRDefault="00116617">
            <w:pPr>
              <w:rPr>
                <w:b/>
              </w:rPr>
            </w:pPr>
            <w:r>
              <w:rPr>
                <w:b/>
              </w:rPr>
              <w:t>Slide 8</w:t>
            </w:r>
          </w:p>
          <w:p w:rsidR="00BE4245" w:rsidRDefault="00BE4245"/>
          <w:p w:rsidR="00BE4245" w:rsidRDefault="00BE4245">
            <w:r>
              <w:t>The last thing I strongly recommend is that you add your NCRC information to</w:t>
            </w:r>
            <w:r w:rsidR="004C1152">
              <w:t xml:space="preserve"> scholarship applications, job applications, and</w:t>
            </w:r>
            <w:r>
              <w:t xml:space="preserve"> your r</w:t>
            </w:r>
            <w:r w:rsidR="00ED0BD4">
              <w:t>é</w:t>
            </w:r>
            <w:r>
              <w:t>sum</w:t>
            </w:r>
            <w:r w:rsidR="00ED0BD4">
              <w:t>é</w:t>
            </w:r>
            <w:r w:rsidR="004C1152">
              <w:t>.</w:t>
            </w:r>
          </w:p>
          <w:p w:rsidR="00BE4245" w:rsidRDefault="00BE4245"/>
          <w:p w:rsidR="00BE4245" w:rsidRDefault="00BE4245">
            <w:r>
              <w:t>It’s just like any other certificate yo</w:t>
            </w:r>
            <w:r w:rsidR="00ED0BD4">
              <w:t>u earn—you want to brag about it</w:t>
            </w:r>
            <w:r>
              <w:t>.</w:t>
            </w:r>
          </w:p>
          <w:p w:rsidR="00BE4245" w:rsidRDefault="00BE4245"/>
          <w:p w:rsidR="00BE4245" w:rsidRDefault="00BE4245">
            <w:r>
              <w:t>And even if the employer doesn’t know what it is, it still might be so</w:t>
            </w:r>
            <w:r w:rsidR="006C71BF">
              <w:t>mething that makes you stand apart from other applicants who otherwise are just as qualified as you are for the job</w:t>
            </w:r>
            <w:r>
              <w:t>.</w:t>
            </w:r>
          </w:p>
        </w:tc>
      </w:tr>
      <w:tr w:rsidR="006A3A4C" w:rsidTr="003F2209">
        <w:tc>
          <w:tcPr>
            <w:tcW w:w="4698" w:type="dxa"/>
          </w:tcPr>
          <w:p w:rsidR="006A3A4C" w:rsidRPr="006A3A4C" w:rsidRDefault="00214873">
            <w:pPr>
              <w:rPr>
                <w:noProof/>
              </w:rPr>
            </w:pPr>
            <w:r w:rsidRPr="00214873">
              <w:rPr>
                <w:noProof/>
              </w:rPr>
              <w:drawing>
                <wp:inline distT="0" distB="0" distL="0" distR="0">
                  <wp:extent cx="2846070" cy="2134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70" cy="213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A3A4C" w:rsidRPr="00BE4245" w:rsidRDefault="00116617">
            <w:pPr>
              <w:rPr>
                <w:b/>
              </w:rPr>
            </w:pPr>
            <w:r>
              <w:rPr>
                <w:b/>
              </w:rPr>
              <w:t>Slide 9</w:t>
            </w:r>
          </w:p>
          <w:p w:rsidR="00BE4245" w:rsidRDefault="00BE4245"/>
          <w:p w:rsid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Note: **Both headings will take you to the site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:</w:t>
            </w:r>
          </w:p>
          <w:p w:rsid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 </w:t>
            </w:r>
          </w:p>
          <w:p w:rsidR="003F2209" w:rsidRPr="003F2209" w:rsidRDefault="00DE0E3F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="Arial" w:hAnsi="Arial" w:cs="Arial"/>
              </w:rPr>
            </w:pPr>
            <w:hyperlink r:id="rId17" w:history="1">
              <w:r w:rsidR="003F2209" w:rsidRPr="006A6C1C">
                <w:rPr>
                  <w:rStyle w:val="Hyperlink"/>
                  <w:rFonts w:ascii="Arial" w:eastAsia="+mn-ea" w:hAnsi="Arial" w:cs="Arial"/>
                  <w:kern w:val="24"/>
                </w:rPr>
                <w:t>http://www.dlr.sd.gov/workforce_services/ncrc/ncrc_benefits_for_employers.aspx</w:t>
              </w:r>
            </w:hyperlink>
          </w:p>
          <w:p w:rsidR="003F2209" w:rsidRPr="003F2209" w:rsidRDefault="003F2209" w:rsidP="006A6C1C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3F2209" w:rsidRP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F2209">
              <w:rPr>
                <w:rFonts w:ascii="Arial" w:eastAsia="+mn-ea" w:hAnsi="Arial" w:cs="Arial"/>
                <w:color w:val="000000"/>
                <w:kern w:val="24"/>
              </w:rPr>
              <w:t xml:space="preserve">The Department of Labor is encouraging employers to use the NCRC as a way to get the best employee in the best position, </w:t>
            </w:r>
            <w:r w:rsidRPr="003F2209">
              <w:rPr>
                <w:rFonts w:ascii="Arial" w:eastAsia="+mn-ea" w:hAnsi="Arial" w:cs="Arial"/>
                <w:color w:val="000000"/>
                <w:kern w:val="24"/>
              </w:rPr>
              <w:lastRenderedPageBreak/>
              <w:t>as we talked before, so the push isn’t j</w:t>
            </w:r>
            <w:r w:rsidR="00E0579F">
              <w:rPr>
                <w:rFonts w:ascii="Arial" w:eastAsia="+mn-ea" w:hAnsi="Arial" w:cs="Arial"/>
                <w:color w:val="000000"/>
                <w:kern w:val="24"/>
              </w:rPr>
              <w:t>ust on using it as a hiring tool</w:t>
            </w:r>
            <w:r w:rsidRPr="003F2209">
              <w:rPr>
                <w:rFonts w:ascii="Arial" w:eastAsia="+mn-ea" w:hAnsi="Arial" w:cs="Arial"/>
                <w:color w:val="000000"/>
                <w:kern w:val="24"/>
              </w:rPr>
              <w:t>. The Department is receiving more recognition forms from employers every week.</w:t>
            </w:r>
          </w:p>
          <w:p w:rsidR="003F2209" w:rsidRP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F2209">
              <w:rPr>
                <w:rFonts w:ascii="Arial" w:eastAsia="+mn-ea" w:hAnsi="Arial" w:cs="Arial"/>
                <w:color w:val="000000"/>
                <w:kern w:val="24"/>
              </w:rPr>
              <w:t> </w:t>
            </w:r>
          </w:p>
          <w:p w:rsidR="003F2209" w:rsidRP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F2209">
              <w:rPr>
                <w:rFonts w:ascii="Arial" w:eastAsia="+mn-ea" w:hAnsi="Arial" w:cs="Arial"/>
                <w:color w:val="000000"/>
                <w:kern w:val="24"/>
              </w:rPr>
              <w:t>This slide shows you just a few of the employers</w:t>
            </w:r>
            <w:r w:rsidR="00E0579F">
              <w:rPr>
                <w:rFonts w:ascii="Arial" w:eastAsia="+mn-ea" w:hAnsi="Arial" w:cs="Arial"/>
                <w:color w:val="000000"/>
                <w:kern w:val="24"/>
              </w:rPr>
              <w:t xml:space="preserve"> who recognize the NCRC</w:t>
            </w:r>
            <w:r w:rsidRPr="003F2209">
              <w:rPr>
                <w:rFonts w:ascii="Arial" w:eastAsia="+mn-ea" w:hAnsi="Arial" w:cs="Arial"/>
                <w:color w:val="000000"/>
                <w:kern w:val="24"/>
              </w:rPr>
              <w:t>. I can take you to the site if you want to see more.</w:t>
            </w:r>
          </w:p>
          <w:p w:rsid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 </w:t>
            </w:r>
          </w:p>
          <w:p w:rsidR="003F2209" w:rsidRDefault="003F2209" w:rsidP="003F2209">
            <w:pPr>
              <w:pStyle w:val="NormalWeb"/>
              <w:kinsoku w:val="0"/>
              <w:overflowPunct w:val="0"/>
              <w:spacing w:before="86" w:beforeAutospacing="0" w:after="0" w:afterAutospacing="0"/>
              <w:textAlignment w:val="baseline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 xml:space="preserve">(**The list is about two thirds of the way down the page and has the heading </w:t>
            </w:r>
            <w:r>
              <w:rPr>
                <w:rFonts w:ascii="Calibri" w:eastAsia="+mn-ea" w:hAnsi="Calibri" w:cs="+mn-cs"/>
                <w:b/>
                <w:bCs/>
                <w:i/>
                <w:iCs/>
                <w:color w:val="000000"/>
                <w:kern w:val="24"/>
              </w:rPr>
              <w:t>Employer Support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  <w:t>)</w:t>
            </w:r>
          </w:p>
          <w:p w:rsidR="00C66405" w:rsidRPr="00ED0BD4" w:rsidRDefault="00C66405">
            <w:pPr>
              <w:rPr>
                <w:b/>
              </w:rPr>
            </w:pPr>
          </w:p>
        </w:tc>
      </w:tr>
      <w:tr w:rsidR="006A3A4C" w:rsidTr="003F2209">
        <w:tc>
          <w:tcPr>
            <w:tcW w:w="4698" w:type="dxa"/>
          </w:tcPr>
          <w:p w:rsidR="006A3A4C" w:rsidRPr="006A3A4C" w:rsidRDefault="00E0579F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63761" cy="2297927"/>
                  <wp:effectExtent l="0" t="0" r="381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105" cy="2299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6A3A4C" w:rsidRPr="00C66405" w:rsidRDefault="00631B21">
            <w:pPr>
              <w:rPr>
                <w:b/>
              </w:rPr>
            </w:pPr>
            <w:r>
              <w:rPr>
                <w:b/>
              </w:rPr>
              <w:t>Slide 10</w:t>
            </w:r>
          </w:p>
          <w:p w:rsidR="00C66405" w:rsidRDefault="00C66405"/>
          <w:p w:rsidR="00C66405" w:rsidRDefault="00C66405">
            <w:r>
              <w:t>Let’s review the four things you should do with your scores</w:t>
            </w:r>
            <w:r w:rsidR="006C71BF">
              <w:t xml:space="preserve"> (go through each again)</w:t>
            </w:r>
            <w:r>
              <w:t>.</w:t>
            </w:r>
          </w:p>
          <w:p w:rsidR="00C66405" w:rsidRDefault="00C66405"/>
          <w:p w:rsidR="00C66405" w:rsidRDefault="00C66405">
            <w:r>
              <w:t>Reflect:</w:t>
            </w:r>
          </w:p>
          <w:p w:rsidR="00C66405" w:rsidRDefault="00C66405" w:rsidP="00C66405">
            <w:pPr>
              <w:pStyle w:val="ListParagraph"/>
              <w:numPr>
                <w:ilvl w:val="0"/>
                <w:numId w:val="9"/>
              </w:numPr>
            </w:pPr>
            <w:r>
              <w:t>How might earning the NCRC benefit you?</w:t>
            </w:r>
          </w:p>
          <w:p w:rsidR="00C66405" w:rsidRDefault="00C66405" w:rsidP="00C66405">
            <w:pPr>
              <w:pStyle w:val="ListParagraph"/>
              <w:numPr>
                <w:ilvl w:val="0"/>
                <w:numId w:val="9"/>
              </w:numPr>
            </w:pPr>
            <w:r>
              <w:t>How might it benefit employers?</w:t>
            </w:r>
          </w:p>
          <w:p w:rsidR="00C66405" w:rsidRDefault="00C66405" w:rsidP="00C66405"/>
          <w:p w:rsidR="00C66405" w:rsidRDefault="00C66405" w:rsidP="00C66405">
            <w:r>
              <w:t>Any other questions or thoughts?</w:t>
            </w:r>
          </w:p>
        </w:tc>
      </w:tr>
    </w:tbl>
    <w:p w:rsidR="00E137F5" w:rsidRDefault="00E137F5"/>
    <w:sectPr w:rsidR="00E137F5" w:rsidSect="00DE0E3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89" w:rsidRDefault="000B1189" w:rsidP="006E0B96">
      <w:pPr>
        <w:spacing w:line="240" w:lineRule="auto"/>
      </w:pPr>
      <w:r>
        <w:separator/>
      </w:r>
    </w:p>
  </w:endnote>
  <w:endnote w:type="continuationSeparator" w:id="0">
    <w:p w:rsidR="000B1189" w:rsidRDefault="000B1189" w:rsidP="006E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96" w:rsidRDefault="006E0B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96" w:rsidRDefault="006E0B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96" w:rsidRDefault="006E0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89" w:rsidRDefault="000B1189" w:rsidP="006E0B96">
      <w:pPr>
        <w:spacing w:line="240" w:lineRule="auto"/>
      </w:pPr>
      <w:r>
        <w:separator/>
      </w:r>
    </w:p>
  </w:footnote>
  <w:footnote w:type="continuationSeparator" w:id="0">
    <w:p w:rsidR="000B1189" w:rsidRDefault="000B1189" w:rsidP="006E0B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96" w:rsidRDefault="006E0B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96" w:rsidRDefault="006E0B9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96" w:rsidRDefault="006E0B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DD"/>
    <w:multiLevelType w:val="hybridMultilevel"/>
    <w:tmpl w:val="A64E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4F3"/>
    <w:multiLevelType w:val="hybridMultilevel"/>
    <w:tmpl w:val="F480869E"/>
    <w:lvl w:ilvl="0" w:tplc="05D4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E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7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0C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24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2E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8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09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1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E74069"/>
    <w:multiLevelType w:val="hybridMultilevel"/>
    <w:tmpl w:val="6BFE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A083D"/>
    <w:multiLevelType w:val="hybridMultilevel"/>
    <w:tmpl w:val="9E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5690"/>
    <w:multiLevelType w:val="hybridMultilevel"/>
    <w:tmpl w:val="17E2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B6E35"/>
    <w:multiLevelType w:val="hybridMultilevel"/>
    <w:tmpl w:val="5C0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66AB"/>
    <w:multiLevelType w:val="hybridMultilevel"/>
    <w:tmpl w:val="0972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05B68"/>
    <w:multiLevelType w:val="hybridMultilevel"/>
    <w:tmpl w:val="DCA6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4D23"/>
    <w:multiLevelType w:val="hybridMultilevel"/>
    <w:tmpl w:val="E516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1907"/>
    <w:multiLevelType w:val="hybridMultilevel"/>
    <w:tmpl w:val="CF6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C3784"/>
    <w:multiLevelType w:val="hybridMultilevel"/>
    <w:tmpl w:val="E55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6794"/>
    <w:rsid w:val="0000393A"/>
    <w:rsid w:val="000224F6"/>
    <w:rsid w:val="00032086"/>
    <w:rsid w:val="00062809"/>
    <w:rsid w:val="000B1189"/>
    <w:rsid w:val="000E14FC"/>
    <w:rsid w:val="000F4623"/>
    <w:rsid w:val="00104049"/>
    <w:rsid w:val="00116617"/>
    <w:rsid w:val="001451CB"/>
    <w:rsid w:val="001549A6"/>
    <w:rsid w:val="00186FE5"/>
    <w:rsid w:val="0019391C"/>
    <w:rsid w:val="001959F6"/>
    <w:rsid w:val="00214873"/>
    <w:rsid w:val="00262225"/>
    <w:rsid w:val="002646ED"/>
    <w:rsid w:val="0027617E"/>
    <w:rsid w:val="002A11AF"/>
    <w:rsid w:val="002A5CA2"/>
    <w:rsid w:val="002B7BDC"/>
    <w:rsid w:val="002E0402"/>
    <w:rsid w:val="002E71CB"/>
    <w:rsid w:val="00300958"/>
    <w:rsid w:val="00362E03"/>
    <w:rsid w:val="003A7A49"/>
    <w:rsid w:val="003B1E4A"/>
    <w:rsid w:val="003F2209"/>
    <w:rsid w:val="004163AD"/>
    <w:rsid w:val="00450010"/>
    <w:rsid w:val="00451D8D"/>
    <w:rsid w:val="00452616"/>
    <w:rsid w:val="004C1152"/>
    <w:rsid w:val="004C4B3C"/>
    <w:rsid w:val="004E6BDB"/>
    <w:rsid w:val="005573AF"/>
    <w:rsid w:val="00595BB5"/>
    <w:rsid w:val="00612E3C"/>
    <w:rsid w:val="00631B21"/>
    <w:rsid w:val="00646AFA"/>
    <w:rsid w:val="006651D6"/>
    <w:rsid w:val="00691BE6"/>
    <w:rsid w:val="0069440A"/>
    <w:rsid w:val="006A3A4C"/>
    <w:rsid w:val="006A6C1C"/>
    <w:rsid w:val="006B7CF3"/>
    <w:rsid w:val="006C4DAF"/>
    <w:rsid w:val="006C71BF"/>
    <w:rsid w:val="006D182D"/>
    <w:rsid w:val="006E0B96"/>
    <w:rsid w:val="006E6A4E"/>
    <w:rsid w:val="00703AC7"/>
    <w:rsid w:val="00726345"/>
    <w:rsid w:val="007C2EFA"/>
    <w:rsid w:val="00806821"/>
    <w:rsid w:val="00824213"/>
    <w:rsid w:val="008348B4"/>
    <w:rsid w:val="008D116F"/>
    <w:rsid w:val="00957AB3"/>
    <w:rsid w:val="00963BF5"/>
    <w:rsid w:val="009717F9"/>
    <w:rsid w:val="009A08B9"/>
    <w:rsid w:val="009C0247"/>
    <w:rsid w:val="009D0D39"/>
    <w:rsid w:val="00A11DF5"/>
    <w:rsid w:val="00A50F78"/>
    <w:rsid w:val="00AC230B"/>
    <w:rsid w:val="00AD1A16"/>
    <w:rsid w:val="00AD4B3D"/>
    <w:rsid w:val="00AE40E8"/>
    <w:rsid w:val="00AE6946"/>
    <w:rsid w:val="00BD7A2E"/>
    <w:rsid w:val="00BE4245"/>
    <w:rsid w:val="00C009B2"/>
    <w:rsid w:val="00C01F3C"/>
    <w:rsid w:val="00C039E8"/>
    <w:rsid w:val="00C073CB"/>
    <w:rsid w:val="00C43CCE"/>
    <w:rsid w:val="00C56BB9"/>
    <w:rsid w:val="00C66405"/>
    <w:rsid w:val="00CE4CE2"/>
    <w:rsid w:val="00D25058"/>
    <w:rsid w:val="00D43B9B"/>
    <w:rsid w:val="00D519FA"/>
    <w:rsid w:val="00D71A98"/>
    <w:rsid w:val="00D957D6"/>
    <w:rsid w:val="00DD09F9"/>
    <w:rsid w:val="00DD277E"/>
    <w:rsid w:val="00DE0E3F"/>
    <w:rsid w:val="00DF7735"/>
    <w:rsid w:val="00E0579F"/>
    <w:rsid w:val="00E05AEE"/>
    <w:rsid w:val="00E137F5"/>
    <w:rsid w:val="00EC3F6B"/>
    <w:rsid w:val="00ED0BD4"/>
    <w:rsid w:val="00EE0B82"/>
    <w:rsid w:val="00EE5F4F"/>
    <w:rsid w:val="00EF6794"/>
    <w:rsid w:val="00F12D24"/>
    <w:rsid w:val="00F22B0C"/>
    <w:rsid w:val="00F61A83"/>
    <w:rsid w:val="00F65D50"/>
    <w:rsid w:val="00F82393"/>
    <w:rsid w:val="00FA7318"/>
    <w:rsid w:val="00FB61B9"/>
    <w:rsid w:val="00FC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7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6C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B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B96"/>
  </w:style>
  <w:style w:type="paragraph" w:styleId="Footer">
    <w:name w:val="footer"/>
    <w:basedOn w:val="Normal"/>
    <w:link w:val="FooterChar"/>
    <w:uiPriority w:val="99"/>
    <w:semiHidden/>
    <w:unhideWhenUsed/>
    <w:rsid w:val="006E0B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27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1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ofiles.keytrain.com/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dlr.sd.gov/workforce_services/ncrc/ncrc_benefits_for_employers.asp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2019-08-19T16:01:00Z</dcterms:created>
  <dcterms:modified xsi:type="dcterms:W3CDTF">2019-08-19T16:01:00Z</dcterms:modified>
</cp:coreProperties>
</file>